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97B85">
      <w:pPr>
        <w:jc w:val="center"/>
      </w:pPr>
      <w:r>
        <w:rPr>
          <w:rFonts w:hint="eastAsia" w:ascii="宋体" w:hAnsi="宋体" w:cs="宋体"/>
          <w:b/>
          <w:bCs/>
          <w:sz w:val="44"/>
          <w:szCs w:val="44"/>
        </w:rPr>
        <w:t>2024年广东IPTV会员活动管理系统五期项目采购需求</w:t>
      </w:r>
    </w:p>
    <w:p w14:paraId="020A0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宋体" w:hAnsi="宋体"/>
          <w:b/>
        </w:rPr>
        <w:t>项目需求</w:t>
      </w:r>
    </w:p>
    <w:p w14:paraId="2F696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IPTV会员活动管理平台采用统一中心，分域建设模式，目前已建成中心域、电信域、移动域、互联网域，实现对用户信息的整合。平台目前拥有会员管理、积分管理、权益管理、卡券管理，活动管理等关键功能模块，通过与媒资系统、EPG和大数据系统的对接，实现了会员成长管理、行为积分管理和线上活动管理。</w:t>
      </w:r>
    </w:p>
    <w:p w14:paraId="79515C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根据业务需求，需要在原有的会员活动管理平台的基础上，对系统的功能进行扩展优化，以便符合业务的发展需求。</w:t>
      </w:r>
    </w:p>
    <w:p w14:paraId="414BA9C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6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1、平台功能优化：基于现有IPTV会员活动管理平台对系统进行扩容和优化，在会员管理、权益管理、积分管理、卡券管理、活动模板、活动管理等多个方面进行功能优化扩展，从而满足运营需要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0EBE3F8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6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2、系统安全升级：第三软件加固，以满足信息安全需要。</w:t>
      </w:r>
    </w:p>
    <w:p w14:paraId="33988D1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6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平台架构升级：微服务架构升级，从而提升整个平台应用的可管理、可监控能力。日志架构升级，解决目前分域部署的多个应用的日志文件分散，问题定位和日志监控困难问题。接口监控升级，统一监控不同来源的接口异常，提升问题响应和故障恢复效率。</w:t>
      </w:r>
    </w:p>
    <w:p w14:paraId="7E68894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6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本项目涉及的建设功能列表如表1所示。</w:t>
      </w:r>
    </w:p>
    <w:tbl>
      <w:tblPr>
        <w:tblStyle w:val="4"/>
        <w:tblW w:w="81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1775"/>
        <w:gridCol w:w="4886"/>
      </w:tblGrid>
      <w:tr w14:paraId="2C04C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793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模块</w:t>
            </w: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766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子模块</w:t>
            </w:r>
          </w:p>
        </w:tc>
        <w:tc>
          <w:tcPr>
            <w:tcW w:w="4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C9B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详细描述</w:t>
            </w:r>
          </w:p>
        </w:tc>
      </w:tr>
      <w:tr w14:paraId="5F29D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DDE50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平台功能优化</w:t>
            </w: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022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前端框架升级</w:t>
            </w:r>
          </w:p>
        </w:tc>
        <w:tc>
          <w:tcPr>
            <w:tcW w:w="4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591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采用JsView前端框架对集福卡活动进行重构，提升活动体验</w:t>
            </w:r>
          </w:p>
        </w:tc>
      </w:tr>
      <w:tr w14:paraId="7B17A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CCB7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B0E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新增活动模型</w:t>
            </w:r>
          </w:p>
        </w:tc>
        <w:tc>
          <w:tcPr>
            <w:tcW w:w="4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5A7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为了活跃用户，增加用户黏性，会员平台将利用JsView框架的特性结合会员等级新增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钓鱼抽奖，日历签到，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抽签抽奖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卡券领取活动</w:t>
            </w:r>
          </w:p>
        </w:tc>
      </w:tr>
      <w:tr w14:paraId="5F6DF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13EF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27B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新增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非视听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卡券</w:t>
            </w:r>
          </w:p>
        </w:tc>
        <w:tc>
          <w:tcPr>
            <w:tcW w:w="4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403C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扩展卡券类型，新增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非视听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卡券的管理，支持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非视听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卡券生成、派发、核销。拓展活动和积分商品奖品类型</w:t>
            </w:r>
          </w:p>
        </w:tc>
      </w:tr>
      <w:tr w14:paraId="459E6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38BF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3F3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活动模型升级</w:t>
            </w:r>
          </w:p>
        </w:tc>
        <w:tc>
          <w:tcPr>
            <w:tcW w:w="4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097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对现有的签到，成长游戏，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报名，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问卷等活动进行升级和优化，提升活动的个性化体验、增强用户互动、提高运营效率。</w:t>
            </w:r>
          </w:p>
        </w:tc>
      </w:tr>
      <w:tr w14:paraId="5A93F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atLeast"/>
        </w:trPr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95E1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67A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活动能力拓展</w:t>
            </w:r>
          </w:p>
        </w:tc>
        <w:tc>
          <w:tcPr>
            <w:tcW w:w="4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0BE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对现有的活动能力进行拓展，增强活动对盒子的兼容性。优化领奖流程，缩短用户使用路径，增加高级赠票规则，提升用户参与体验</w:t>
            </w:r>
          </w:p>
        </w:tc>
      </w:tr>
      <w:tr w14:paraId="6065D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872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705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会员能力拓展</w:t>
            </w:r>
          </w:p>
        </w:tc>
        <w:tc>
          <w:tcPr>
            <w:tcW w:w="4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DF1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拓展会员等级权益类型，支持周期性领取会员权益，细化会员等级制度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优化积分商城奖品兑换流程，提高兑换效率</w:t>
            </w:r>
          </w:p>
        </w:tc>
      </w:tr>
      <w:tr w14:paraId="68E34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53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4B52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系统升级</w:t>
            </w: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F09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服务器升级</w:t>
            </w:r>
          </w:p>
        </w:tc>
        <w:tc>
          <w:tcPr>
            <w:tcW w:w="4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FCA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移动深圳机房服务器更新升级</w:t>
            </w:r>
          </w:p>
        </w:tc>
      </w:tr>
      <w:tr w14:paraId="44D1D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3BB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1368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系统安全升级</w:t>
            </w:r>
          </w:p>
        </w:tc>
        <w:tc>
          <w:tcPr>
            <w:tcW w:w="4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CEF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根据安全扫描漏洞要求，进行软件升级或漏洞修复</w:t>
            </w:r>
          </w:p>
        </w:tc>
      </w:tr>
      <w:tr w14:paraId="5ED8D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9677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2CD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平台架构升级</w:t>
            </w:r>
          </w:p>
        </w:tc>
        <w:tc>
          <w:tcPr>
            <w:tcW w:w="4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75D73">
            <w:pPr>
              <w:keepNext w:val="0"/>
              <w:keepLines w:val="0"/>
              <w:pageBreakBefore w:val="0"/>
              <w:tabs>
                <w:tab w:val="left" w:pos="65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微服务架构升级，日志架构升级，接口监控升级</w:t>
            </w:r>
          </w:p>
        </w:tc>
      </w:tr>
    </w:tbl>
    <w:p w14:paraId="3F6E55C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61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表1 建设功能列表</w:t>
      </w:r>
    </w:p>
    <w:p w14:paraId="6EFA1F80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0" w:name="_Toc79422084"/>
      <w:bookmarkStart w:id="1" w:name="_Toc84604515"/>
      <w:bookmarkStart w:id="2" w:name="_Toc32241"/>
      <w:r>
        <w:rPr>
          <w:rFonts w:hint="eastAsia" w:ascii="宋体" w:hAnsi="宋体" w:eastAsia="宋体" w:cs="宋体"/>
          <w:sz w:val="21"/>
          <w:szCs w:val="21"/>
          <w:lang w:eastAsia="zh-CN"/>
        </w:rPr>
        <w:t>二、</w:t>
      </w:r>
      <w:r>
        <w:rPr>
          <w:rFonts w:hint="eastAsia" w:ascii="宋体" w:hAnsi="宋体" w:eastAsia="宋体" w:cs="宋体"/>
          <w:sz w:val="21"/>
          <w:szCs w:val="21"/>
        </w:rPr>
        <w:t>其他技术要求</w:t>
      </w:r>
      <w:bookmarkEnd w:id="0"/>
      <w:bookmarkEnd w:id="1"/>
      <w:bookmarkEnd w:id="2"/>
    </w:p>
    <w:p w14:paraId="0C975E6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outlineLvl w:val="2"/>
        <w:rPr>
          <w:rFonts w:hint="eastAsia" w:ascii="宋体" w:hAnsi="宋体" w:eastAsia="宋体" w:cs="宋体"/>
          <w:b/>
          <w:sz w:val="21"/>
          <w:szCs w:val="21"/>
        </w:rPr>
      </w:pPr>
      <w:bookmarkStart w:id="3" w:name="_Toc84604516"/>
      <w:bookmarkStart w:id="4" w:name="_Toc8191"/>
      <w:bookmarkStart w:id="5" w:name="_Toc81934799"/>
      <w:bookmarkStart w:id="6" w:name="_Toc81487437"/>
      <w:r>
        <w:rPr>
          <w:rFonts w:hint="eastAsia" w:ascii="宋体" w:hAnsi="宋体" w:eastAsia="宋体" w:cs="宋体"/>
          <w:b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/>
          <w:sz w:val="21"/>
          <w:szCs w:val="21"/>
        </w:rPr>
        <w:t>兼容性要求</w:t>
      </w:r>
      <w:bookmarkEnd w:id="3"/>
      <w:bookmarkEnd w:id="4"/>
      <w:bookmarkEnd w:id="5"/>
      <w:bookmarkEnd w:id="6"/>
    </w:p>
    <w:p w14:paraId="260C3981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7" w:name="_Toc81934800"/>
      <w:bookmarkStart w:id="8" w:name="_Toc84604517"/>
      <w:bookmarkStart w:id="9" w:name="_Toc81487438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sz w:val="21"/>
          <w:szCs w:val="21"/>
        </w:rPr>
        <w:t>大屏活动必须兼容南方新媒体的高清互动机顶盒，需要通过南方新媒体兼容性测试。</w:t>
      </w:r>
    </w:p>
    <w:p w14:paraId="3E06DF48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sz w:val="21"/>
          <w:szCs w:val="21"/>
        </w:rPr>
        <w:t>平台需支持IPV4及IPV6接入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  <w:bookmarkStart w:id="19" w:name="_GoBack"/>
      <w:bookmarkEnd w:id="19"/>
    </w:p>
    <w:p w14:paraId="28B0A9B2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</w:t>
      </w:r>
      <w:r>
        <w:rPr>
          <w:rFonts w:hint="eastAsia" w:ascii="宋体" w:hAnsi="宋体" w:eastAsia="宋体" w:cs="宋体"/>
          <w:sz w:val="21"/>
          <w:szCs w:val="21"/>
        </w:rPr>
        <w:t>本期项目扩容功能需兼容平台已有功能。</w:t>
      </w:r>
    </w:p>
    <w:p w14:paraId="1C6AD1A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outlineLvl w:val="2"/>
        <w:rPr>
          <w:rFonts w:hint="eastAsia" w:ascii="宋体" w:hAnsi="宋体" w:eastAsia="宋体" w:cs="宋体"/>
          <w:b/>
          <w:sz w:val="21"/>
          <w:szCs w:val="21"/>
        </w:rPr>
      </w:pPr>
      <w:bookmarkStart w:id="10" w:name="_Toc6599"/>
      <w:r>
        <w:rPr>
          <w:rFonts w:hint="eastAsia" w:ascii="宋体" w:hAnsi="宋体" w:eastAsia="宋体" w:cs="宋体"/>
          <w:b/>
          <w:sz w:val="21"/>
          <w:szCs w:val="21"/>
        </w:rPr>
        <w:t>2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/>
          <w:sz w:val="21"/>
          <w:szCs w:val="21"/>
        </w:rPr>
        <w:t>性能及部署要求</w:t>
      </w:r>
      <w:bookmarkEnd w:id="7"/>
      <w:bookmarkEnd w:id="8"/>
      <w:bookmarkEnd w:id="9"/>
      <w:bookmarkEnd w:id="10"/>
    </w:p>
    <w:p w14:paraId="48F9D227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sz w:val="21"/>
          <w:szCs w:val="21"/>
        </w:rPr>
        <w:t>面向机顶盒终端访问的服务单台应用性能要求在12核CPU、内存32G的环境配置下，支持1000请求/秒的并发数（TPS），90%请求处理耗时不超过500毫秒。</w:t>
      </w:r>
    </w:p>
    <w:p w14:paraId="32FFFDE2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sz w:val="21"/>
          <w:szCs w:val="21"/>
        </w:rPr>
        <w:t>PV：大于1500万每天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 w14:paraId="21BB872B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</w:t>
      </w:r>
      <w:r>
        <w:rPr>
          <w:rFonts w:hint="eastAsia" w:ascii="宋体" w:hAnsi="宋体" w:eastAsia="宋体" w:cs="宋体"/>
          <w:sz w:val="21"/>
          <w:szCs w:val="21"/>
        </w:rPr>
        <w:t>系统可以横向扩容、集群化部署，根据业务进行多机房部署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 w14:paraId="323D3BB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outlineLvl w:val="2"/>
        <w:rPr>
          <w:rFonts w:hint="eastAsia" w:ascii="宋体" w:hAnsi="宋体" w:eastAsia="宋体" w:cs="宋体"/>
          <w:b/>
          <w:sz w:val="21"/>
          <w:szCs w:val="21"/>
        </w:rPr>
      </w:pPr>
      <w:bookmarkStart w:id="11" w:name="_Toc84604518"/>
      <w:bookmarkStart w:id="12" w:name="_Toc81934801"/>
      <w:bookmarkStart w:id="13" w:name="_Toc5638"/>
      <w:bookmarkStart w:id="14" w:name="_Toc81487439"/>
      <w:r>
        <w:rPr>
          <w:rFonts w:hint="eastAsia" w:ascii="宋体" w:hAnsi="宋体" w:eastAsia="宋体" w:cs="宋体"/>
          <w:b/>
          <w:sz w:val="21"/>
          <w:szCs w:val="21"/>
        </w:rPr>
        <w:t>3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/>
          <w:sz w:val="21"/>
          <w:szCs w:val="21"/>
        </w:rPr>
        <w:t>容量要求</w:t>
      </w:r>
      <w:bookmarkEnd w:id="11"/>
      <w:bookmarkEnd w:id="12"/>
      <w:bookmarkEnd w:id="13"/>
      <w:bookmarkEnd w:id="14"/>
    </w:p>
    <w:p w14:paraId="72288CB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15" w:name="_Toc81934802"/>
      <w:bookmarkStart w:id="16" w:name="_Toc81487440"/>
      <w:r>
        <w:rPr>
          <w:rFonts w:hint="eastAsia" w:ascii="宋体" w:hAnsi="宋体" w:eastAsia="宋体" w:cs="宋体"/>
          <w:sz w:val="21"/>
          <w:szCs w:val="21"/>
        </w:rPr>
        <w:t>平台总容量需支持千万级高清互动机顶盒用户。</w:t>
      </w:r>
      <w:bookmarkEnd w:id="15"/>
      <w:bookmarkEnd w:id="16"/>
    </w:p>
    <w:p w14:paraId="18AAE28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outlineLvl w:val="2"/>
        <w:rPr>
          <w:rFonts w:hint="eastAsia" w:ascii="宋体" w:hAnsi="宋体" w:eastAsia="宋体" w:cs="宋体"/>
          <w:b/>
          <w:sz w:val="21"/>
          <w:szCs w:val="21"/>
        </w:rPr>
      </w:pPr>
      <w:bookmarkStart w:id="17" w:name="_Toc2104"/>
      <w:r>
        <w:rPr>
          <w:rFonts w:hint="eastAsia" w:ascii="宋体" w:hAnsi="宋体" w:eastAsia="宋体" w:cs="宋体"/>
          <w:b/>
          <w:sz w:val="21"/>
          <w:szCs w:val="21"/>
        </w:rPr>
        <w:t>4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/>
          <w:sz w:val="21"/>
          <w:szCs w:val="21"/>
        </w:rPr>
        <w:t>网络安全要求</w:t>
      </w:r>
      <w:bookmarkEnd w:id="17"/>
    </w:p>
    <w:p w14:paraId="6EC24384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系统需要满足等保、国家及行业相关技术规范等的网络安全要求，需要定期对存在的安全漏洞进行整改及修复。</w:t>
      </w:r>
    </w:p>
    <w:p w14:paraId="2DA5084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outlineLvl w:val="2"/>
        <w:rPr>
          <w:rFonts w:hint="eastAsia" w:ascii="宋体" w:hAnsi="宋体" w:eastAsia="宋体" w:cs="宋体"/>
          <w:b/>
          <w:sz w:val="21"/>
          <w:szCs w:val="21"/>
        </w:rPr>
      </w:pPr>
      <w:bookmarkStart w:id="18" w:name="_Toc20930"/>
      <w:r>
        <w:rPr>
          <w:rFonts w:hint="eastAsia" w:ascii="宋体" w:hAnsi="宋体" w:eastAsia="宋体" w:cs="宋体"/>
          <w:b/>
          <w:sz w:val="21"/>
          <w:szCs w:val="21"/>
        </w:rPr>
        <w:t>5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/>
          <w:sz w:val="21"/>
          <w:szCs w:val="21"/>
        </w:rPr>
        <w:t>售后服务要求</w:t>
      </w:r>
      <w:bookmarkEnd w:id="18"/>
    </w:p>
    <w:p w14:paraId="53E592E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项目在终验后免费质保期为12个月，自买卖双方共同签署验收（终验）文件之日起计算。在质保期内，厂家提供技术支持、运维支持、包括日常巡检，以及重大节日巡检，定期出具巡检报告。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ZWVkMWE1OWYzNWYxM2I3ZmY5YjhjNTE4MWZkMDAifQ=="/>
  </w:docVars>
  <w:rsids>
    <w:rsidRoot w:val="00000000"/>
    <w:rsid w:val="02361049"/>
    <w:rsid w:val="1B2A25F4"/>
    <w:rsid w:val="640C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spacing w:before="100" w:beforeAutospacing="1" w:after="100" w:afterAutospacing="1" w:line="320" w:lineRule="atLeast"/>
      <w:ind w:firstLine="420"/>
    </w:pPr>
    <w:rPr>
      <w:rFonts w:ascii="Calibri" w:hAnsi="Calibri" w:eastAsia="宋体" w:cs="Times New Roman"/>
      <w:szCs w:val="20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1215</Words>
  <Characters>1258</Characters>
  <Lines>0</Lines>
  <Paragraphs>0</Paragraphs>
  <TotalTime>6</TotalTime>
  <ScaleCrop>false</ScaleCrop>
  <LinksUpToDate>false</LinksUpToDate>
  <CharactersWithSpaces>1263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2024-10-15T01:42:00Z</dcterms:created>
  <dc:creator>xxx</dc:creator>
  <cp:lastModifiedBy>林颖祥</cp:lastModifiedBy>
  <dcterms:modified xsi:type="dcterms:W3CDTF">2024-10-15T02:23:28Z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6561E314D6C5497D91DD4C1637F84C5F_12</vt:lpwstr>
  </property>
</Properties>
</file>