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C9AB8">
      <w:pPr>
        <w:spacing w:line="360" w:lineRule="auto"/>
        <w:jc w:val="center"/>
        <w:outlineLvl w:val="1"/>
        <w:rPr>
          <w:rFonts w:ascii="Times New Roman" w:hAnsi="Times New Roman" w:cs="Times New Roman"/>
          <w:b/>
          <w:sz w:val="24"/>
        </w:rPr>
      </w:pPr>
      <w:r>
        <w:rPr>
          <w:rFonts w:hint="eastAsia" w:ascii="Times New Roman" w:hAnsi="Times New Roman" w:cs="Times New Roman"/>
          <w:b/>
          <w:sz w:val="24"/>
        </w:rPr>
        <w:t>二氧化碳经皮监测仪采购需求</w:t>
      </w:r>
    </w:p>
    <w:p w14:paraId="7F1FBCA1">
      <w:pPr>
        <w:spacing w:line="360" w:lineRule="auto"/>
        <w:rPr>
          <w:b/>
          <w:bCs/>
          <w:spacing w:val="-10"/>
          <w:sz w:val="28"/>
          <w:szCs w:val="28"/>
        </w:rPr>
      </w:pPr>
      <w:r>
        <w:rPr>
          <w:rFonts w:hint="eastAsia"/>
          <w:b/>
          <w:bCs/>
          <w:spacing w:val="-10"/>
          <w:sz w:val="28"/>
          <w:szCs w:val="28"/>
        </w:rPr>
        <w:t>一、技术参数</w:t>
      </w:r>
    </w:p>
    <w:tbl>
      <w:tblPr>
        <w:tblStyle w:val="8"/>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335"/>
        <w:gridCol w:w="837"/>
        <w:gridCol w:w="6350"/>
      </w:tblGrid>
      <w:tr w14:paraId="703E8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56" w:hRule="atLeast"/>
          <w:jc w:val="center"/>
        </w:trPr>
        <w:tc>
          <w:tcPr>
            <w:tcW w:w="1335" w:type="dxa"/>
            <w:vAlign w:val="center"/>
          </w:tcPr>
          <w:p w14:paraId="72D8CE50">
            <w:pPr>
              <w:jc w:val="center"/>
              <w:rPr>
                <w:sz w:val="21"/>
                <w:szCs w:val="21"/>
              </w:rPr>
            </w:pPr>
            <w:r>
              <w:rPr>
                <w:sz w:val="21"/>
                <w:szCs w:val="21"/>
              </w:rPr>
              <w:t>参数性质</w:t>
            </w:r>
          </w:p>
        </w:tc>
        <w:tc>
          <w:tcPr>
            <w:tcW w:w="837" w:type="dxa"/>
            <w:vAlign w:val="center"/>
          </w:tcPr>
          <w:p w14:paraId="54BF6A56">
            <w:pPr>
              <w:jc w:val="center"/>
              <w:rPr>
                <w:sz w:val="21"/>
                <w:szCs w:val="21"/>
              </w:rPr>
            </w:pPr>
            <w:r>
              <w:rPr>
                <w:sz w:val="21"/>
                <w:szCs w:val="21"/>
              </w:rPr>
              <w:t>序号</w:t>
            </w:r>
          </w:p>
        </w:tc>
        <w:tc>
          <w:tcPr>
            <w:tcW w:w="6350" w:type="dxa"/>
            <w:vAlign w:val="center"/>
          </w:tcPr>
          <w:p w14:paraId="371E6157">
            <w:pPr>
              <w:jc w:val="center"/>
              <w:rPr>
                <w:sz w:val="21"/>
                <w:szCs w:val="21"/>
              </w:rPr>
            </w:pPr>
            <w:r>
              <w:rPr>
                <w:sz w:val="21"/>
                <w:szCs w:val="21"/>
              </w:rPr>
              <w:t>具体技术(参数)要求</w:t>
            </w:r>
          </w:p>
        </w:tc>
      </w:tr>
      <w:tr w14:paraId="23FDC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5" w:type="dxa"/>
            <w:vAlign w:val="center"/>
          </w:tcPr>
          <w:p w14:paraId="6038EA74">
            <w:pPr>
              <w:spacing w:line="360" w:lineRule="auto"/>
              <w:jc w:val="center"/>
              <w:rPr>
                <w:sz w:val="21"/>
                <w:szCs w:val="21"/>
              </w:rPr>
            </w:pPr>
            <w:r>
              <w:rPr>
                <w:sz w:val="21"/>
                <w:szCs w:val="21"/>
              </w:rPr>
              <w:t>★</w:t>
            </w:r>
          </w:p>
        </w:tc>
        <w:tc>
          <w:tcPr>
            <w:tcW w:w="837" w:type="dxa"/>
            <w:vAlign w:val="center"/>
          </w:tcPr>
          <w:p w14:paraId="52C1837C">
            <w:pPr>
              <w:spacing w:line="360" w:lineRule="auto"/>
              <w:jc w:val="center"/>
              <w:rPr>
                <w:sz w:val="21"/>
                <w:szCs w:val="21"/>
              </w:rPr>
            </w:pPr>
            <w:r>
              <w:rPr>
                <w:sz w:val="21"/>
                <w:szCs w:val="21"/>
              </w:rPr>
              <w:t>1</w:t>
            </w:r>
          </w:p>
        </w:tc>
        <w:tc>
          <w:tcPr>
            <w:tcW w:w="6350" w:type="dxa"/>
            <w:vAlign w:val="center"/>
          </w:tcPr>
          <w:p w14:paraId="4F884240">
            <w:pPr>
              <w:spacing w:line="360" w:lineRule="auto"/>
              <w:rPr>
                <w:sz w:val="21"/>
                <w:szCs w:val="21"/>
              </w:rPr>
            </w:pPr>
            <w:r>
              <w:rPr>
                <w:sz w:val="21"/>
                <w:szCs w:val="21"/>
              </w:rPr>
              <w:t>★最高限价：人民币</w:t>
            </w:r>
            <w:r>
              <w:rPr>
                <w:rFonts w:hint="eastAsia"/>
                <w:spacing w:val="-2"/>
                <w:sz w:val="21"/>
                <w:szCs w:val="21"/>
              </w:rPr>
              <w:t>400,000.00</w:t>
            </w:r>
            <w:r>
              <w:rPr>
                <w:sz w:val="21"/>
                <w:szCs w:val="21"/>
              </w:rPr>
              <w:t>元</w:t>
            </w:r>
            <w:r>
              <w:rPr>
                <w:rFonts w:hint="eastAsia"/>
                <w:sz w:val="21"/>
                <w:szCs w:val="21"/>
              </w:rPr>
              <w:t>。</w:t>
            </w:r>
          </w:p>
        </w:tc>
      </w:tr>
      <w:tr w14:paraId="354DE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5" w:type="dxa"/>
            <w:vAlign w:val="center"/>
          </w:tcPr>
          <w:p w14:paraId="3131692B">
            <w:pPr>
              <w:spacing w:line="360" w:lineRule="auto"/>
              <w:jc w:val="center"/>
              <w:rPr>
                <w:sz w:val="21"/>
                <w:szCs w:val="21"/>
              </w:rPr>
            </w:pPr>
            <w:r>
              <w:rPr>
                <w:sz w:val="21"/>
                <w:szCs w:val="21"/>
              </w:rPr>
              <w:t>★</w:t>
            </w:r>
          </w:p>
        </w:tc>
        <w:tc>
          <w:tcPr>
            <w:tcW w:w="837" w:type="dxa"/>
            <w:vAlign w:val="center"/>
          </w:tcPr>
          <w:p w14:paraId="364CA33B">
            <w:pPr>
              <w:spacing w:line="360" w:lineRule="auto"/>
              <w:jc w:val="center"/>
              <w:rPr>
                <w:sz w:val="21"/>
                <w:szCs w:val="21"/>
              </w:rPr>
            </w:pPr>
            <w:r>
              <w:rPr>
                <w:rFonts w:hint="eastAsia"/>
                <w:sz w:val="21"/>
                <w:szCs w:val="21"/>
              </w:rPr>
              <w:t>2</w:t>
            </w:r>
          </w:p>
        </w:tc>
        <w:tc>
          <w:tcPr>
            <w:tcW w:w="6350" w:type="dxa"/>
            <w:vAlign w:val="center"/>
          </w:tcPr>
          <w:p w14:paraId="4B339B1D">
            <w:pPr>
              <w:spacing w:line="360" w:lineRule="auto"/>
              <w:rPr>
                <w:sz w:val="21"/>
                <w:szCs w:val="21"/>
              </w:rPr>
            </w:pPr>
            <w:r>
              <w:rPr>
                <w:rFonts w:hint="eastAsia"/>
                <w:sz w:val="21"/>
                <w:szCs w:val="21"/>
              </w:rPr>
              <w:t>★投标有效期：从投标截止之日起90日内。</w:t>
            </w:r>
          </w:p>
        </w:tc>
      </w:tr>
      <w:tr w14:paraId="2EE5C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5" w:type="dxa"/>
            <w:vAlign w:val="center"/>
          </w:tcPr>
          <w:p w14:paraId="0EC3BF67">
            <w:pPr>
              <w:spacing w:line="360" w:lineRule="auto"/>
              <w:jc w:val="center"/>
              <w:rPr>
                <w:sz w:val="21"/>
                <w:szCs w:val="21"/>
              </w:rPr>
            </w:pPr>
            <w:r>
              <w:rPr>
                <w:sz w:val="21"/>
                <w:szCs w:val="21"/>
              </w:rPr>
              <w:t>★</w:t>
            </w:r>
          </w:p>
        </w:tc>
        <w:tc>
          <w:tcPr>
            <w:tcW w:w="837" w:type="dxa"/>
            <w:vAlign w:val="center"/>
          </w:tcPr>
          <w:p w14:paraId="01AB50C0">
            <w:pPr>
              <w:spacing w:line="360" w:lineRule="auto"/>
              <w:jc w:val="center"/>
              <w:rPr>
                <w:sz w:val="21"/>
                <w:szCs w:val="21"/>
              </w:rPr>
            </w:pPr>
            <w:r>
              <w:rPr>
                <w:rFonts w:hint="eastAsia"/>
                <w:sz w:val="21"/>
                <w:szCs w:val="21"/>
              </w:rPr>
              <w:t>3</w:t>
            </w:r>
          </w:p>
        </w:tc>
        <w:tc>
          <w:tcPr>
            <w:tcW w:w="6350" w:type="dxa"/>
            <w:vAlign w:val="center"/>
          </w:tcPr>
          <w:p w14:paraId="6F9617CD">
            <w:pPr>
              <w:spacing w:line="360" w:lineRule="auto"/>
              <w:rPr>
                <w:sz w:val="21"/>
                <w:szCs w:val="21"/>
              </w:rPr>
            </w:pPr>
            <w:r>
              <w:rPr>
                <w:sz w:val="21"/>
                <w:szCs w:val="21"/>
              </w:rPr>
              <w:t>★本项目不接受备用投标方案，不接受有任何选择或具有附加条件的报价，投标文件的报价只允许唯一方案报价。</w:t>
            </w:r>
          </w:p>
        </w:tc>
      </w:tr>
      <w:tr w14:paraId="3416F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1" w:hRule="atLeast"/>
          <w:jc w:val="center"/>
        </w:trPr>
        <w:tc>
          <w:tcPr>
            <w:tcW w:w="1335" w:type="dxa"/>
            <w:vAlign w:val="center"/>
          </w:tcPr>
          <w:p w14:paraId="01528E56">
            <w:pPr>
              <w:jc w:val="center"/>
              <w:rPr>
                <w:sz w:val="21"/>
                <w:szCs w:val="21"/>
              </w:rPr>
            </w:pPr>
          </w:p>
        </w:tc>
        <w:tc>
          <w:tcPr>
            <w:tcW w:w="837" w:type="dxa"/>
            <w:vAlign w:val="center"/>
          </w:tcPr>
          <w:p w14:paraId="6A51F124">
            <w:pPr>
              <w:jc w:val="center"/>
              <w:rPr>
                <w:rFonts w:hint="eastAsia"/>
                <w:sz w:val="21"/>
                <w:szCs w:val="21"/>
              </w:rPr>
            </w:pPr>
            <w:r>
              <w:rPr>
                <w:rFonts w:hint="eastAsia"/>
                <w:sz w:val="21"/>
                <w:szCs w:val="21"/>
              </w:rPr>
              <w:t>4</w:t>
            </w:r>
          </w:p>
        </w:tc>
        <w:tc>
          <w:tcPr>
            <w:tcW w:w="6350" w:type="dxa"/>
            <w:vAlign w:val="center"/>
          </w:tcPr>
          <w:p w14:paraId="2C436A1C">
            <w:pPr>
              <w:pStyle w:val="22"/>
              <w:autoSpaceDE/>
              <w:autoSpaceDN/>
              <w:snapToGrid w:val="0"/>
              <w:spacing w:line="360" w:lineRule="auto"/>
              <w:jc w:val="both"/>
              <w:rPr>
                <w:rFonts w:hint="eastAsia" w:ascii="宋体" w:hAnsi="宋体" w:cs="宋体"/>
                <w:color w:val="121212"/>
                <w:sz w:val="21"/>
                <w:szCs w:val="21"/>
                <w:lang w:val="zh-TW"/>
              </w:rPr>
            </w:pPr>
            <w:r>
              <w:rPr>
                <w:rFonts w:hint="eastAsia" w:ascii="宋体" w:hAnsi="宋体" w:cs="宋体"/>
                <w:color w:val="121212"/>
                <w:sz w:val="21"/>
                <w:szCs w:val="21"/>
                <w:lang w:val="zh-TW"/>
              </w:rPr>
              <w:t>一、</w:t>
            </w:r>
            <w:r>
              <w:rPr>
                <w:rFonts w:ascii="宋体" w:hAnsi="宋体" w:cs="宋体"/>
                <w:color w:val="121212"/>
                <w:sz w:val="21"/>
                <w:szCs w:val="21"/>
                <w:lang w:val="zh-TW"/>
              </w:rPr>
              <w:t>功能要求</w:t>
            </w:r>
            <w:r>
              <w:rPr>
                <w:rFonts w:hint="eastAsia" w:ascii="宋体" w:hAnsi="宋体" w:cs="宋体"/>
                <w:color w:val="121212"/>
                <w:sz w:val="21"/>
                <w:szCs w:val="21"/>
                <w:lang w:val="zh-TW"/>
              </w:rPr>
              <w:t>（</w:t>
            </w:r>
            <w:r>
              <w:rPr>
                <w:rFonts w:hint="eastAsia" w:ascii="宋体" w:hAnsi="宋体"/>
                <w:b/>
                <w:bCs/>
                <w:color w:val="121212"/>
                <w:sz w:val="21"/>
                <w:szCs w:val="21"/>
              </w:rPr>
              <w:t>投标人所投产品的技术参数不得低于以下配置要求</w:t>
            </w:r>
            <w:r>
              <w:rPr>
                <w:rFonts w:hint="eastAsia" w:ascii="宋体" w:hAnsi="宋体" w:cs="宋体"/>
                <w:color w:val="121212"/>
                <w:sz w:val="21"/>
                <w:szCs w:val="21"/>
                <w:lang w:val="zh-TW"/>
              </w:rPr>
              <w:t>）</w:t>
            </w:r>
            <w:r>
              <w:rPr>
                <w:rFonts w:ascii="宋体" w:hAnsi="宋体" w:cs="宋体"/>
                <w:color w:val="121212"/>
                <w:sz w:val="21"/>
                <w:szCs w:val="21"/>
                <w:lang w:val="zh-TW"/>
              </w:rPr>
              <w:t>：</w:t>
            </w:r>
          </w:p>
          <w:p w14:paraId="44E4233A">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1、</w:t>
            </w:r>
            <w:r>
              <w:rPr>
                <w:rFonts w:ascii="宋体" w:hAnsi="宋体" w:cs="宋体"/>
                <w:color w:val="121212"/>
                <w:sz w:val="21"/>
                <w:szCs w:val="21"/>
                <w:highlight w:val="none"/>
                <w:lang w:val="zh-TW"/>
              </w:rPr>
              <w:t>全自动开启监测功能：连接电极即可自动开始监测</w:t>
            </w:r>
          </w:p>
          <w:p w14:paraId="53E2FBA7">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2、</w:t>
            </w:r>
            <w:r>
              <w:rPr>
                <w:rFonts w:ascii="宋体" w:hAnsi="宋体" w:cs="宋体"/>
                <w:color w:val="121212"/>
                <w:sz w:val="21"/>
                <w:szCs w:val="21"/>
                <w:highlight w:val="none"/>
                <w:lang w:val="zh-TW"/>
              </w:rPr>
              <w:t>▲采</w:t>
            </w:r>
            <w:r>
              <w:rPr>
                <w:rFonts w:ascii="宋体" w:hAnsi="宋体" w:cs="宋体"/>
                <w:b w:val="0"/>
                <w:bCs w:val="0"/>
                <w:color w:val="121212"/>
                <w:sz w:val="21"/>
                <w:szCs w:val="21"/>
                <w:highlight w:val="none"/>
                <w:lang w:val="zh-TW"/>
              </w:rPr>
              <w:t>用彩色触摸屏控</w:t>
            </w:r>
            <w:r>
              <w:rPr>
                <w:rFonts w:ascii="宋体" w:hAnsi="宋体" w:cs="宋体"/>
                <w:color w:val="121212"/>
                <w:sz w:val="21"/>
                <w:szCs w:val="21"/>
                <w:highlight w:val="none"/>
                <w:lang w:val="zh-TW"/>
              </w:rPr>
              <w:t>制面板，显示屏幕大于6英寸</w:t>
            </w:r>
          </w:p>
          <w:p w14:paraId="51055DB8">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3、</w:t>
            </w:r>
            <w:r>
              <w:rPr>
                <w:rFonts w:ascii="宋体" w:hAnsi="宋体" w:cs="宋体"/>
                <w:color w:val="121212"/>
                <w:sz w:val="21"/>
                <w:szCs w:val="21"/>
                <w:highlight w:val="none"/>
                <w:lang w:val="zh-TW"/>
              </w:rPr>
              <w:t>具有同屏显示实时数字、动态曲线及变化趋势功能</w:t>
            </w:r>
          </w:p>
          <w:p w14:paraId="20A61464">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4、</w:t>
            </w:r>
            <w:r>
              <w:rPr>
                <w:rFonts w:ascii="宋体" w:hAnsi="宋体" w:cs="宋体"/>
                <w:color w:val="121212"/>
                <w:sz w:val="21"/>
                <w:szCs w:val="21"/>
                <w:highlight w:val="none"/>
                <w:lang w:val="zh-TW"/>
              </w:rPr>
              <w:t>内置多种显示方式，包括数字模式，表格模式，趋势模式</w:t>
            </w:r>
          </w:p>
          <w:p w14:paraId="0D42596A">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5、</w:t>
            </w:r>
            <w:r>
              <w:rPr>
                <w:rFonts w:ascii="宋体" w:hAnsi="宋体" w:cs="宋体"/>
                <w:color w:val="121212"/>
                <w:sz w:val="21"/>
                <w:szCs w:val="21"/>
                <w:highlight w:val="none"/>
                <w:lang w:val="zh-TW"/>
              </w:rPr>
              <w:t>具有智能温控功能：根据需要自定义温度及加热时间，安全计时自动停止加热</w:t>
            </w:r>
          </w:p>
          <w:p w14:paraId="14650312">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6、</w:t>
            </w:r>
            <w:r>
              <w:rPr>
                <w:rFonts w:ascii="宋体" w:hAnsi="宋体" w:cs="宋体"/>
                <w:color w:val="121212"/>
                <w:sz w:val="21"/>
                <w:szCs w:val="21"/>
                <w:highlight w:val="none"/>
                <w:lang w:val="zh-TW"/>
              </w:rPr>
              <w:t>特殊事件标记功能：可自定义特殊事件，并作标记，准确捕捉刺激下的反应</w:t>
            </w:r>
          </w:p>
          <w:p w14:paraId="013B0449">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7、</w:t>
            </w:r>
            <w:r>
              <w:rPr>
                <w:rFonts w:ascii="宋体" w:hAnsi="宋体" w:cs="宋体"/>
                <w:color w:val="121212"/>
                <w:sz w:val="21"/>
                <w:szCs w:val="21"/>
                <w:highlight w:val="none"/>
                <w:lang w:val="zh-TW"/>
              </w:rPr>
              <w:t>▲血气检测对比记录功能：可将同时间抽取的血气检测值录入，并同屏对比显示</w:t>
            </w:r>
          </w:p>
          <w:p w14:paraId="79259EF5">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8、</w:t>
            </w:r>
            <w:r>
              <w:rPr>
                <w:rFonts w:ascii="宋体" w:hAnsi="宋体" w:cs="宋体"/>
                <w:color w:val="121212"/>
                <w:sz w:val="21"/>
                <w:szCs w:val="21"/>
                <w:highlight w:val="none"/>
                <w:lang w:val="zh-TW"/>
              </w:rPr>
              <w:t>具有内置</w:t>
            </w:r>
            <w:r>
              <w:rPr>
                <w:rFonts w:ascii="宋体" w:hAnsi="宋体" w:cs="宋体"/>
                <w:color w:val="121212"/>
                <w:sz w:val="21"/>
                <w:szCs w:val="21"/>
                <w:highlight w:val="none"/>
                <w:u w:val="none" w:color="FF0000"/>
                <w:lang w:val="zh-TW"/>
              </w:rPr>
              <w:t>电池下监测功能：主机内置电池即可独立支持操作，可用于患儿转运</w:t>
            </w:r>
          </w:p>
          <w:p w14:paraId="2D7DC643">
            <w:pPr>
              <w:pStyle w:val="22"/>
              <w:autoSpaceDE/>
              <w:autoSpaceDN/>
              <w:snapToGrid w:val="0"/>
              <w:spacing w:line="360" w:lineRule="auto"/>
              <w:jc w:val="both"/>
              <w:rPr>
                <w:rFonts w:hint="eastAsia" w:ascii="宋体" w:hAnsi="宋体" w:eastAsia="宋体" w:cs="宋体"/>
                <w:color w:val="121212"/>
                <w:sz w:val="21"/>
                <w:szCs w:val="21"/>
                <w:highlight w:val="none"/>
                <w:u w:val="none" w:color="FF0000"/>
                <w:lang w:val="zh-TW" w:eastAsia="zh-CN"/>
              </w:rPr>
            </w:pPr>
            <w:r>
              <w:rPr>
                <w:rFonts w:ascii="宋体" w:hAnsi="宋体" w:cs="宋体"/>
                <w:color w:val="121212"/>
                <w:sz w:val="21"/>
                <w:szCs w:val="21"/>
                <w:highlight w:val="none"/>
                <w:lang w:val="zh-TW"/>
              </w:rPr>
              <w:t>▲</w:t>
            </w:r>
            <w:r>
              <w:rPr>
                <w:rFonts w:hint="eastAsia" w:ascii="宋体" w:hAnsi="宋体" w:cs="宋体"/>
                <w:color w:val="121212"/>
                <w:sz w:val="21"/>
                <w:szCs w:val="21"/>
                <w:highlight w:val="none"/>
                <w:u w:val="none" w:color="FF0000"/>
                <w:lang w:val="zh-TW"/>
              </w:rPr>
              <w:t>9、</w:t>
            </w:r>
            <w:r>
              <w:rPr>
                <w:rFonts w:ascii="宋体" w:hAnsi="宋体" w:cs="宋体"/>
                <w:color w:val="121212"/>
                <w:sz w:val="21"/>
                <w:szCs w:val="21"/>
                <w:highlight w:val="none"/>
                <w:u w:val="none" w:color="FF0000"/>
                <w:lang w:val="zh-TW"/>
              </w:rPr>
              <w:t>具有数据存储能力：监测单元或主机本身具备数据存储能力</w:t>
            </w:r>
            <w:r>
              <w:rPr>
                <w:rFonts w:hint="eastAsia" w:ascii="宋体" w:hAnsi="宋体" w:cs="宋体"/>
                <w:color w:val="121212"/>
                <w:sz w:val="21"/>
                <w:szCs w:val="21"/>
                <w:highlight w:val="none"/>
                <w:u w:val="none" w:color="FF0000"/>
                <w:lang w:val="zh-TW" w:eastAsia="zh-CN"/>
              </w:rPr>
              <w:t>，</w:t>
            </w:r>
            <w:r>
              <w:rPr>
                <w:color w:val="121212"/>
                <w:sz w:val="21"/>
                <w:highlight w:val="none"/>
              </w:rPr>
              <w:t>可存储≥48小时内的监测数据</w:t>
            </w:r>
          </w:p>
          <w:p w14:paraId="7F3B9339">
            <w:pPr>
              <w:pStyle w:val="22"/>
              <w:numPr>
                <w:ilvl w:val="0"/>
                <w:numId w:val="1"/>
              </w:numPr>
              <w:autoSpaceDE/>
              <w:autoSpaceDN/>
              <w:snapToGrid w:val="0"/>
              <w:spacing w:line="360" w:lineRule="auto"/>
              <w:jc w:val="both"/>
              <w:rPr>
                <w:rFonts w:ascii="宋体" w:hAnsi="宋体" w:cs="宋体"/>
                <w:color w:val="121212"/>
                <w:sz w:val="21"/>
                <w:szCs w:val="21"/>
                <w:highlight w:val="none"/>
                <w:lang w:val="zh-TW"/>
              </w:rPr>
            </w:pPr>
            <w:r>
              <w:rPr>
                <w:rFonts w:ascii="宋体" w:hAnsi="宋体" w:cs="宋体"/>
                <w:color w:val="121212"/>
                <w:sz w:val="21"/>
                <w:szCs w:val="21"/>
                <w:highlight w:val="none"/>
                <w:u w:val="none" w:color="FF0000"/>
                <w:lang w:val="zh-TW"/>
              </w:rPr>
              <w:t>主机具备USB和</w:t>
            </w:r>
            <w:r>
              <w:rPr>
                <w:rFonts w:ascii="宋体" w:hAnsi="宋体" w:cs="宋体"/>
                <w:color w:val="121212"/>
                <w:sz w:val="21"/>
                <w:szCs w:val="21"/>
                <w:highlight w:val="none"/>
              </w:rPr>
              <w:t>RS-232</w:t>
            </w:r>
            <w:r>
              <w:rPr>
                <w:rFonts w:ascii="宋体" w:hAnsi="宋体" w:cs="宋体"/>
                <w:color w:val="121212"/>
                <w:sz w:val="21"/>
                <w:szCs w:val="21"/>
                <w:highlight w:val="none"/>
                <w:lang w:val="zh-TW"/>
              </w:rPr>
              <w:t>接口</w:t>
            </w:r>
            <w:r>
              <w:rPr>
                <w:rFonts w:hint="eastAsia" w:ascii="宋体" w:hAnsi="宋体" w:cs="宋体"/>
                <w:color w:val="121212"/>
                <w:sz w:val="21"/>
                <w:szCs w:val="21"/>
                <w:highlight w:val="none"/>
                <w:lang w:val="zh-TW" w:eastAsia="zh-CN"/>
              </w:rPr>
              <w:t>，</w:t>
            </w:r>
            <w:r>
              <w:rPr>
                <w:color w:val="121212"/>
                <w:sz w:val="21"/>
                <w:highlight w:val="none"/>
              </w:rPr>
              <w:t>USB接口可导出患者信息及监测数据</w:t>
            </w:r>
          </w:p>
          <w:p w14:paraId="698F693A">
            <w:pPr>
              <w:pStyle w:val="22"/>
              <w:numPr>
                <w:ilvl w:val="0"/>
                <w:numId w:val="1"/>
              </w:numPr>
              <w:autoSpaceDE/>
              <w:autoSpaceDN/>
              <w:snapToGrid w:val="0"/>
              <w:spacing w:line="360" w:lineRule="auto"/>
              <w:jc w:val="both"/>
              <w:rPr>
                <w:rFonts w:hint="eastAsia" w:ascii="宋体" w:hAnsi="宋体" w:cs="宋体"/>
                <w:color w:val="121212"/>
                <w:sz w:val="21"/>
                <w:szCs w:val="21"/>
                <w:highlight w:val="none"/>
                <w:lang w:val="zh-TW"/>
              </w:rPr>
            </w:pPr>
            <w:r>
              <w:rPr>
                <w:rFonts w:ascii="宋体" w:hAnsi="宋体" w:cs="宋体"/>
                <w:color w:val="121212"/>
                <w:sz w:val="21"/>
                <w:szCs w:val="21"/>
                <w:highlight w:val="none"/>
                <w:lang w:val="zh-TW"/>
              </w:rPr>
              <w:t>直接打印功能：无需导出数据或连接电脑即可直接打印监测结果</w:t>
            </w:r>
          </w:p>
          <w:p w14:paraId="447D9664">
            <w:pPr>
              <w:pStyle w:val="22"/>
              <w:autoSpaceDE/>
              <w:autoSpaceDN/>
              <w:snapToGrid w:val="0"/>
              <w:spacing w:line="360" w:lineRule="auto"/>
              <w:jc w:val="both"/>
              <w:rPr>
                <w:rFonts w:hint="default" w:ascii="宋体" w:hAnsi="宋体" w:eastAsia="宋体" w:cs="宋体"/>
                <w:color w:val="121212"/>
                <w:sz w:val="21"/>
                <w:szCs w:val="21"/>
                <w:highlight w:val="none"/>
                <w:lang w:val="en-US" w:eastAsia="zh-CN"/>
              </w:rPr>
            </w:pPr>
            <w:r>
              <w:rPr>
                <w:rFonts w:hint="eastAsia" w:ascii="宋体" w:hAnsi="宋体" w:cs="宋体"/>
                <w:color w:val="121212"/>
                <w:sz w:val="21"/>
                <w:szCs w:val="21"/>
                <w:highlight w:val="none"/>
                <w:lang w:val="zh-TW"/>
              </w:rPr>
              <w:t>11、</w:t>
            </w:r>
            <w:r>
              <w:rPr>
                <w:rFonts w:ascii="宋体" w:hAnsi="宋体" w:cs="宋体"/>
                <w:color w:val="121212"/>
                <w:sz w:val="21"/>
                <w:szCs w:val="21"/>
                <w:highlight w:val="none"/>
                <w:lang w:val="zh-TW"/>
              </w:rPr>
              <w:t>内置视频操作演示指南</w:t>
            </w:r>
            <w:r>
              <w:rPr>
                <w:rFonts w:hint="eastAsia" w:ascii="宋体" w:hAnsi="宋体" w:cs="宋体"/>
                <w:color w:val="121212"/>
                <w:sz w:val="21"/>
                <w:szCs w:val="21"/>
                <w:highlight w:val="none"/>
                <w:lang w:val="zh-TW" w:eastAsia="zh-CN"/>
              </w:rPr>
              <w:t>，</w:t>
            </w:r>
            <w:r>
              <w:rPr>
                <w:rFonts w:hint="eastAsia" w:ascii="宋体" w:hAnsi="宋体" w:cs="宋体"/>
                <w:color w:val="121212"/>
                <w:sz w:val="21"/>
                <w:szCs w:val="21"/>
                <w:highlight w:val="none"/>
                <w:lang w:val="en-US" w:eastAsia="zh-CN"/>
              </w:rPr>
              <w:t>可在设备屏幕上播放演示</w:t>
            </w:r>
          </w:p>
          <w:p w14:paraId="1CB5BF28">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12、</w:t>
            </w:r>
            <w:r>
              <w:rPr>
                <w:rFonts w:ascii="宋体" w:hAnsi="宋体" w:cs="宋体"/>
                <w:color w:val="121212"/>
                <w:sz w:val="21"/>
                <w:szCs w:val="21"/>
                <w:highlight w:val="none"/>
                <w:lang w:val="zh-TW"/>
              </w:rPr>
              <w:t>系统为全中文界面，并可切换其他语言</w:t>
            </w:r>
          </w:p>
          <w:p w14:paraId="69359B29">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13、</w:t>
            </w:r>
            <w:r>
              <w:rPr>
                <w:rFonts w:ascii="宋体" w:hAnsi="宋体" w:cs="宋体"/>
                <w:color w:val="121212"/>
                <w:sz w:val="21"/>
                <w:szCs w:val="21"/>
                <w:highlight w:val="none"/>
                <w:lang w:val="zh-TW"/>
              </w:rPr>
              <w:t>具有监测报警功能：报警条件可根据用户要求自行设置，并可调节报警声音</w:t>
            </w:r>
          </w:p>
          <w:p w14:paraId="0D963D32">
            <w:pPr>
              <w:snapToGrid w:val="0"/>
              <w:spacing w:line="360" w:lineRule="auto"/>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eastAsia="zh-TW"/>
              </w:rPr>
              <w:t>二</w:t>
            </w:r>
            <w:r>
              <w:rPr>
                <w:rFonts w:hint="eastAsia" w:ascii="宋体" w:hAnsi="宋体" w:cs="宋体"/>
                <w:color w:val="121212"/>
                <w:sz w:val="21"/>
                <w:szCs w:val="21"/>
                <w:highlight w:val="none"/>
                <w:lang w:val="zh-TW"/>
              </w:rPr>
              <w:t>、</w:t>
            </w:r>
            <w:r>
              <w:rPr>
                <w:rFonts w:ascii="宋体" w:hAnsi="宋体" w:cs="宋体"/>
                <w:color w:val="121212"/>
                <w:sz w:val="21"/>
                <w:szCs w:val="21"/>
                <w:highlight w:val="none"/>
                <w:lang w:val="zh-TW" w:eastAsia="zh-TW"/>
              </w:rPr>
              <w:t>技术要求：</w:t>
            </w:r>
          </w:p>
          <w:p w14:paraId="72D71803">
            <w:pPr>
              <w:jc w:val="both"/>
              <w:rPr>
                <w:color w:val="121212"/>
                <w:highlight w:val="none"/>
              </w:rPr>
            </w:pPr>
            <w:r>
              <w:rPr>
                <w:rFonts w:hint="eastAsia" w:ascii="宋体" w:hAnsi="宋体" w:cs="宋体"/>
                <w:color w:val="121212"/>
                <w:sz w:val="21"/>
                <w:szCs w:val="21"/>
                <w:highlight w:val="none"/>
                <w:lang w:val="zh-TW" w:eastAsia="zh-TW"/>
              </w:rPr>
              <w:t>1、</w:t>
            </w:r>
            <w:r>
              <w:rPr>
                <w:rFonts w:ascii="宋体" w:hAnsi="宋体" w:cs="宋体"/>
                <w:color w:val="121212"/>
                <w:sz w:val="21"/>
                <w:szCs w:val="21"/>
                <w:highlight w:val="none"/>
                <w:lang w:val="zh-TW" w:eastAsia="zh-TW"/>
              </w:rPr>
              <w:t>▲</w:t>
            </w:r>
            <w:r>
              <w:rPr>
                <w:rFonts w:ascii="宋体" w:hAnsi="宋体" w:cs="宋体"/>
                <w:strike w:val="0"/>
                <w:dstrike w:val="0"/>
                <w:color w:val="121212"/>
                <w:sz w:val="21"/>
                <w:szCs w:val="21"/>
                <w:highlight w:val="none"/>
                <w:lang w:val="zh-TW" w:eastAsia="zh-TW"/>
              </w:rPr>
              <w:t>工作原理：</w:t>
            </w:r>
            <w:r>
              <w:rPr>
                <w:color w:val="121212"/>
                <w:sz w:val="21"/>
                <w:highlight w:val="none"/>
              </w:rPr>
              <w:t>使用pO</w:t>
            </w:r>
            <w:r>
              <w:rPr>
                <w:color w:val="121212"/>
                <w:sz w:val="21"/>
                <w:highlight w:val="none"/>
                <w:vertAlign w:val="subscript"/>
              </w:rPr>
              <w:t>2</w:t>
            </w:r>
            <w:r>
              <w:rPr>
                <w:color w:val="121212"/>
                <w:sz w:val="21"/>
                <w:highlight w:val="none"/>
              </w:rPr>
              <w:t>电极和pCO</w:t>
            </w:r>
            <w:r>
              <w:rPr>
                <w:color w:val="121212"/>
                <w:sz w:val="21"/>
                <w:highlight w:val="none"/>
                <w:vertAlign w:val="subscript"/>
              </w:rPr>
              <w:t>2</w:t>
            </w:r>
            <w:r>
              <w:rPr>
                <w:color w:val="121212"/>
                <w:sz w:val="21"/>
                <w:highlight w:val="none"/>
              </w:rPr>
              <w:t>电极，可以同时监测经皮pO</w:t>
            </w:r>
            <w:r>
              <w:rPr>
                <w:color w:val="121212"/>
                <w:sz w:val="21"/>
                <w:highlight w:val="none"/>
                <w:vertAlign w:val="subscript"/>
              </w:rPr>
              <w:t>2</w:t>
            </w:r>
            <w:r>
              <w:rPr>
                <w:color w:val="121212"/>
                <w:sz w:val="21"/>
                <w:highlight w:val="none"/>
              </w:rPr>
              <w:t>和pCO</w:t>
            </w:r>
            <w:r>
              <w:rPr>
                <w:color w:val="121212"/>
                <w:sz w:val="21"/>
                <w:highlight w:val="none"/>
                <w:vertAlign w:val="subscript"/>
              </w:rPr>
              <w:t>2</w:t>
            </w:r>
            <w:r>
              <w:rPr>
                <w:color w:val="121212"/>
                <w:sz w:val="21"/>
                <w:highlight w:val="none"/>
              </w:rPr>
              <w:t>。</w:t>
            </w:r>
          </w:p>
          <w:p w14:paraId="68BEA5E6">
            <w:pPr>
              <w:pStyle w:val="22"/>
              <w:autoSpaceDE/>
              <w:autoSpaceDN/>
              <w:snapToGrid w:val="0"/>
              <w:spacing w:line="360" w:lineRule="auto"/>
              <w:jc w:val="both"/>
              <w:rPr>
                <w:rFonts w:hint="eastAsia" w:ascii="宋体" w:hAnsi="宋体" w:cs="宋体"/>
                <w:color w:val="121212"/>
                <w:sz w:val="21"/>
                <w:szCs w:val="21"/>
                <w:highlight w:val="none"/>
                <w:lang w:val="zh-TW" w:eastAsia="zh-TW"/>
              </w:rPr>
            </w:pPr>
            <w:r>
              <w:rPr>
                <w:rFonts w:hint="eastAsia" w:ascii="宋体" w:hAnsi="宋体" w:cs="宋体"/>
                <w:color w:val="121212"/>
                <w:sz w:val="21"/>
                <w:szCs w:val="21"/>
                <w:highlight w:val="none"/>
                <w:lang w:val="zh-TW" w:eastAsia="zh-TW"/>
              </w:rPr>
              <w:t>2、</w:t>
            </w:r>
            <w:r>
              <w:rPr>
                <w:rFonts w:ascii="宋体" w:hAnsi="宋体" w:cs="宋体"/>
                <w:color w:val="121212"/>
                <w:sz w:val="21"/>
                <w:szCs w:val="21"/>
                <w:highlight w:val="none"/>
                <w:lang w:val="zh-TW" w:eastAsia="zh-TW"/>
              </w:rPr>
              <w:t>监测参数：经皮氧分压（tcpO2）、经皮二氧化碳分压（tcpCO2）、功率曲线（Power）</w:t>
            </w:r>
          </w:p>
          <w:p w14:paraId="481321DC">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3、</w:t>
            </w:r>
            <w:r>
              <w:rPr>
                <w:rFonts w:ascii="宋体" w:hAnsi="宋体" w:cs="宋体"/>
                <w:color w:val="121212"/>
                <w:sz w:val="21"/>
                <w:szCs w:val="21"/>
                <w:highlight w:val="none"/>
                <w:lang w:val="zh-TW"/>
              </w:rPr>
              <w:t>监测范围：</w:t>
            </w:r>
            <w:r>
              <w:rPr>
                <w:rFonts w:ascii="宋体" w:hAnsi="宋体"/>
                <w:color w:val="121212"/>
                <w:sz w:val="21"/>
                <w:szCs w:val="21"/>
                <w:highlight w:val="none"/>
              </w:rPr>
              <w:t>tcpO2:0-800mmHg</w:t>
            </w:r>
            <w:r>
              <w:rPr>
                <w:rFonts w:ascii="宋体" w:hAnsi="宋体" w:cs="宋体"/>
                <w:color w:val="121212"/>
                <w:sz w:val="21"/>
                <w:szCs w:val="21"/>
                <w:highlight w:val="none"/>
                <w:lang w:val="zh-TW"/>
              </w:rPr>
              <w:t>（</w:t>
            </w:r>
            <w:r>
              <w:rPr>
                <w:rFonts w:ascii="宋体" w:hAnsi="宋体"/>
                <w:color w:val="121212"/>
                <w:sz w:val="21"/>
                <w:szCs w:val="21"/>
                <w:highlight w:val="none"/>
              </w:rPr>
              <w:t>0.0-99.9Kpa</w:t>
            </w:r>
            <w:r>
              <w:rPr>
                <w:rFonts w:ascii="宋体" w:hAnsi="宋体" w:cs="宋体"/>
                <w:color w:val="121212"/>
                <w:sz w:val="21"/>
                <w:szCs w:val="21"/>
                <w:highlight w:val="none"/>
                <w:lang w:val="zh-TW"/>
              </w:rPr>
              <w:t>）</w:t>
            </w:r>
          </w:p>
          <w:p w14:paraId="45FD5A37">
            <w:pPr>
              <w:snapToGrid w:val="0"/>
              <w:spacing w:line="360" w:lineRule="auto"/>
              <w:ind w:firstLine="1470" w:firstLineChars="700"/>
              <w:rPr>
                <w:rFonts w:hint="eastAsia" w:ascii="宋体" w:hAnsi="宋体" w:cs="宋体"/>
                <w:color w:val="121212"/>
                <w:sz w:val="21"/>
                <w:szCs w:val="21"/>
                <w:highlight w:val="none"/>
                <w:lang w:val="zh-TW" w:eastAsia="zh-TW"/>
              </w:rPr>
            </w:pPr>
            <w:r>
              <w:rPr>
                <w:rFonts w:ascii="宋体" w:hAnsi="宋体"/>
                <w:color w:val="121212"/>
                <w:sz w:val="21"/>
                <w:szCs w:val="21"/>
                <w:highlight w:val="none"/>
                <w:lang w:eastAsia="zh-TW"/>
              </w:rPr>
              <w:t>tcpCO2:0-200mmHg</w:t>
            </w:r>
            <w:r>
              <w:rPr>
                <w:rFonts w:ascii="宋体" w:hAnsi="宋体" w:cs="宋体"/>
                <w:color w:val="121212"/>
                <w:sz w:val="21"/>
                <w:szCs w:val="21"/>
                <w:highlight w:val="none"/>
                <w:lang w:val="zh-TW" w:eastAsia="zh-TW"/>
              </w:rPr>
              <w:t>（</w:t>
            </w:r>
            <w:r>
              <w:rPr>
                <w:rFonts w:ascii="宋体" w:hAnsi="宋体"/>
                <w:color w:val="121212"/>
                <w:sz w:val="21"/>
                <w:szCs w:val="21"/>
                <w:highlight w:val="none"/>
                <w:lang w:eastAsia="zh-TW"/>
              </w:rPr>
              <w:t>0.0-26.6Kpa</w:t>
            </w:r>
            <w:r>
              <w:rPr>
                <w:rFonts w:ascii="宋体" w:hAnsi="宋体" w:cs="宋体"/>
                <w:color w:val="121212"/>
                <w:sz w:val="21"/>
                <w:szCs w:val="21"/>
                <w:highlight w:val="none"/>
                <w:lang w:val="zh-TW" w:eastAsia="zh-TW"/>
              </w:rPr>
              <w:t>）</w:t>
            </w:r>
          </w:p>
          <w:p w14:paraId="2558714F">
            <w:pPr>
              <w:snapToGrid w:val="0"/>
              <w:spacing w:line="360" w:lineRule="auto"/>
              <w:ind w:firstLine="1470" w:firstLineChars="700"/>
              <w:rPr>
                <w:rFonts w:hint="eastAsia" w:ascii="宋体" w:hAnsi="宋体"/>
                <w:color w:val="121212"/>
                <w:sz w:val="21"/>
                <w:szCs w:val="21"/>
                <w:highlight w:val="none"/>
              </w:rPr>
            </w:pPr>
            <w:r>
              <w:rPr>
                <w:rFonts w:ascii="宋体" w:hAnsi="宋体"/>
                <w:color w:val="121212"/>
                <w:sz w:val="21"/>
                <w:szCs w:val="21"/>
                <w:highlight w:val="none"/>
              </w:rPr>
              <w:t>power</w:t>
            </w:r>
            <w:r>
              <w:rPr>
                <w:rFonts w:ascii="宋体" w:hAnsi="宋体" w:cs="宋体"/>
                <w:color w:val="121212"/>
                <w:sz w:val="21"/>
                <w:szCs w:val="21"/>
                <w:highlight w:val="none"/>
                <w:lang w:val="zh-TW"/>
              </w:rPr>
              <w:t>：</w:t>
            </w:r>
            <w:r>
              <w:rPr>
                <w:rFonts w:ascii="宋体" w:hAnsi="宋体"/>
                <w:color w:val="121212"/>
                <w:sz w:val="21"/>
                <w:szCs w:val="21"/>
                <w:highlight w:val="none"/>
              </w:rPr>
              <w:t>0-1000mw</w:t>
            </w:r>
          </w:p>
          <w:p w14:paraId="64829175">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4、</w:t>
            </w:r>
            <w:r>
              <w:rPr>
                <w:rFonts w:ascii="宋体" w:hAnsi="宋体" w:cs="宋体"/>
                <w:color w:val="121212"/>
                <w:sz w:val="21"/>
                <w:szCs w:val="21"/>
                <w:highlight w:val="none"/>
                <w:lang w:val="zh-TW"/>
              </w:rPr>
              <w:t>实时数据更新频率：≤3秒</w:t>
            </w:r>
          </w:p>
          <w:p w14:paraId="3E7D5489">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zh-TW"/>
              </w:rPr>
              <w:t>5、</w:t>
            </w:r>
            <w:r>
              <w:rPr>
                <w:rFonts w:ascii="宋体" w:hAnsi="宋体" w:cs="宋体"/>
                <w:color w:val="121212"/>
                <w:sz w:val="21"/>
                <w:szCs w:val="21"/>
                <w:highlight w:val="none"/>
                <w:lang w:val="zh-TW"/>
              </w:rPr>
              <w:t>电极膜上机有效期≥7天，需提供制造厂商技术证明</w:t>
            </w:r>
          </w:p>
          <w:p w14:paraId="5DA6E0CD">
            <w:pPr>
              <w:snapToGrid w:val="0"/>
              <w:spacing w:line="360" w:lineRule="auto"/>
              <w:rPr>
                <w:rFonts w:hint="eastAsia" w:ascii="宋体" w:hAnsi="宋体" w:cs="宋体"/>
                <w:color w:val="121212"/>
                <w:sz w:val="21"/>
                <w:szCs w:val="21"/>
                <w:highlight w:val="none"/>
                <w:lang w:val="zh-TW"/>
              </w:rPr>
            </w:pPr>
            <w:r>
              <w:rPr>
                <w:rFonts w:ascii="宋体" w:hAnsi="宋体" w:cs="宋体"/>
                <w:color w:val="121212"/>
                <w:sz w:val="21"/>
                <w:szCs w:val="21"/>
                <w:highlight w:val="none"/>
                <w:lang w:val="zh-TW"/>
              </w:rPr>
              <w:t>三</w:t>
            </w:r>
            <w:r>
              <w:rPr>
                <w:rFonts w:hint="eastAsia" w:ascii="宋体" w:hAnsi="宋体" w:cs="宋体"/>
                <w:color w:val="121212"/>
                <w:sz w:val="21"/>
                <w:szCs w:val="21"/>
                <w:highlight w:val="none"/>
                <w:lang w:val="zh-TW"/>
              </w:rPr>
              <w:t>、</w:t>
            </w:r>
            <w:r>
              <w:rPr>
                <w:rFonts w:ascii="宋体" w:hAnsi="宋体" w:cs="宋体"/>
                <w:color w:val="121212"/>
                <w:sz w:val="21"/>
                <w:szCs w:val="21"/>
                <w:highlight w:val="none"/>
                <w:lang w:val="zh-TW"/>
              </w:rPr>
              <w:t>配置要求：</w:t>
            </w:r>
          </w:p>
          <w:p w14:paraId="3A595147">
            <w:pPr>
              <w:jc w:val="both"/>
              <w:rPr>
                <w:rFonts w:hint="eastAsia" w:ascii="宋体" w:hAnsi="宋体" w:eastAsia="宋体" w:cs="宋体"/>
                <w:color w:val="121212"/>
                <w:sz w:val="21"/>
                <w:szCs w:val="21"/>
                <w:highlight w:val="none"/>
                <w:lang w:val="zh-TW" w:eastAsia="zh-CN"/>
              </w:rPr>
            </w:pPr>
            <w:r>
              <w:rPr>
                <w:rFonts w:hint="eastAsia" w:ascii="宋体" w:hAnsi="宋体" w:cs="宋体"/>
                <w:color w:val="121212"/>
                <w:sz w:val="21"/>
                <w:szCs w:val="21"/>
                <w:highlight w:val="none"/>
                <w:lang w:val="zh-TW"/>
              </w:rPr>
              <w:t>1、</w:t>
            </w:r>
            <w:r>
              <w:rPr>
                <w:rFonts w:ascii="宋体" w:hAnsi="宋体" w:cs="宋体"/>
                <w:color w:val="121212"/>
                <w:sz w:val="21"/>
                <w:szCs w:val="21"/>
                <w:highlight w:val="none"/>
                <w:lang w:val="zh-TW"/>
              </w:rPr>
              <w:t>▲监测主机、显示屏幕、内置电池一体化</w:t>
            </w:r>
            <w:r>
              <w:rPr>
                <w:rFonts w:hint="eastAsia" w:ascii="宋体" w:hAnsi="宋体" w:cs="宋体"/>
                <w:color w:val="121212"/>
                <w:sz w:val="21"/>
                <w:szCs w:val="21"/>
                <w:highlight w:val="none"/>
                <w:lang w:val="zh-TW" w:eastAsia="zh-CN"/>
              </w:rPr>
              <w:t>，</w:t>
            </w:r>
            <w:r>
              <w:rPr>
                <w:color w:val="121212"/>
                <w:sz w:val="21"/>
                <w:highlight w:val="none"/>
              </w:rPr>
              <w:t>定标气瓶内置，设备可显示定标气体余量。</w:t>
            </w:r>
          </w:p>
          <w:p w14:paraId="4957EEA3">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en-US" w:eastAsia="zh-CN"/>
              </w:rPr>
              <w:t>2</w:t>
            </w:r>
            <w:r>
              <w:rPr>
                <w:rFonts w:hint="eastAsia" w:ascii="宋体" w:hAnsi="宋体" w:cs="宋体"/>
                <w:color w:val="121212"/>
                <w:sz w:val="21"/>
                <w:szCs w:val="21"/>
                <w:highlight w:val="none"/>
                <w:lang w:val="zh-TW"/>
              </w:rPr>
              <w:t>、</w:t>
            </w:r>
            <w:r>
              <w:rPr>
                <w:rFonts w:ascii="宋体" w:hAnsi="宋体" w:cs="宋体"/>
                <w:color w:val="121212"/>
                <w:sz w:val="21"/>
                <w:szCs w:val="21"/>
                <w:highlight w:val="none"/>
                <w:lang w:val="zh-TW"/>
              </w:rPr>
              <w:t>▲固定套件多样化，具备儿童专用型号，可按医院要求提供配置</w:t>
            </w:r>
          </w:p>
          <w:p w14:paraId="3075C8FE">
            <w:pPr>
              <w:pStyle w:val="22"/>
              <w:autoSpaceDE/>
              <w:autoSpaceDN/>
              <w:snapToGrid w:val="0"/>
              <w:spacing w:line="360" w:lineRule="auto"/>
              <w:jc w:val="both"/>
              <w:rPr>
                <w:rFonts w:hint="eastAsia" w:ascii="宋体" w:hAnsi="宋体" w:eastAsia="宋体" w:cs="宋体"/>
                <w:color w:val="121212"/>
                <w:sz w:val="21"/>
                <w:szCs w:val="21"/>
                <w:highlight w:val="none"/>
                <w:lang w:val="zh-TW" w:eastAsia="zh-CN"/>
              </w:rPr>
            </w:pPr>
            <w:r>
              <w:rPr>
                <w:rFonts w:hint="eastAsia" w:ascii="宋体" w:hAnsi="宋体" w:cs="宋体"/>
                <w:color w:val="121212"/>
                <w:sz w:val="21"/>
                <w:szCs w:val="21"/>
                <w:highlight w:val="none"/>
                <w:lang w:val="en-US" w:eastAsia="zh-CN"/>
              </w:rPr>
              <w:t>3</w:t>
            </w:r>
            <w:r>
              <w:rPr>
                <w:rFonts w:hint="eastAsia" w:ascii="宋体" w:hAnsi="宋体" w:cs="宋体"/>
                <w:color w:val="121212"/>
                <w:sz w:val="21"/>
                <w:szCs w:val="21"/>
                <w:highlight w:val="none"/>
                <w:lang w:val="zh-TW"/>
              </w:rPr>
              <w:t>、</w:t>
            </w:r>
            <w:r>
              <w:rPr>
                <w:rFonts w:ascii="宋体" w:hAnsi="宋体" w:cs="宋体"/>
                <w:color w:val="121212"/>
                <w:sz w:val="21"/>
                <w:szCs w:val="21"/>
                <w:highlight w:val="none"/>
                <w:lang w:val="zh-TW"/>
              </w:rPr>
              <w:t>内置可充电电池</w:t>
            </w:r>
            <w:r>
              <w:rPr>
                <w:rFonts w:hint="eastAsia" w:ascii="宋体" w:hAnsi="宋体" w:cs="宋体"/>
                <w:color w:val="121212"/>
                <w:sz w:val="21"/>
                <w:szCs w:val="21"/>
                <w:highlight w:val="none"/>
                <w:lang w:val="zh-TW" w:eastAsia="zh-CN"/>
              </w:rPr>
              <w:t>，电池可供电操作≥1小时</w:t>
            </w:r>
          </w:p>
          <w:p w14:paraId="65A8EF69">
            <w:pPr>
              <w:pStyle w:val="22"/>
              <w:autoSpaceDE/>
              <w:autoSpaceDN/>
              <w:snapToGrid w:val="0"/>
              <w:spacing w:line="360" w:lineRule="auto"/>
              <w:jc w:val="both"/>
              <w:rPr>
                <w:rFonts w:ascii="宋体" w:hAnsi="宋体" w:cs="宋体"/>
                <w:strike w:val="0"/>
                <w:dstrike w:val="0"/>
                <w:color w:val="121212"/>
                <w:sz w:val="21"/>
                <w:szCs w:val="21"/>
                <w:highlight w:val="none"/>
                <w:lang w:val="zh-TW"/>
              </w:rPr>
            </w:pPr>
            <w:r>
              <w:rPr>
                <w:rFonts w:hint="eastAsia" w:ascii="宋体" w:hAnsi="宋体" w:cs="宋体"/>
                <w:color w:val="121212"/>
                <w:sz w:val="21"/>
                <w:szCs w:val="21"/>
                <w:highlight w:val="none"/>
                <w:lang w:val="zh-TW"/>
              </w:rPr>
              <w:t>7、</w:t>
            </w:r>
            <w:r>
              <w:rPr>
                <w:rFonts w:ascii="宋体" w:hAnsi="宋体" w:cs="宋体"/>
                <w:strike w:val="0"/>
                <w:dstrike w:val="0"/>
                <w:color w:val="121212"/>
                <w:sz w:val="21"/>
                <w:szCs w:val="21"/>
                <w:highlight w:val="none"/>
                <w:lang w:val="zh-TW"/>
              </w:rPr>
              <w:t>设备相关配件和耗材需要提供医疗器械注册证</w:t>
            </w:r>
          </w:p>
          <w:p w14:paraId="35D0C537">
            <w:pPr>
              <w:pStyle w:val="22"/>
              <w:autoSpaceDE/>
              <w:autoSpaceDN/>
              <w:snapToGrid w:val="0"/>
              <w:spacing w:line="360" w:lineRule="auto"/>
              <w:jc w:val="both"/>
              <w:rPr>
                <w:rFonts w:hint="eastAsia" w:ascii="宋体" w:hAnsi="宋体" w:cs="宋体"/>
                <w:color w:val="121212"/>
                <w:sz w:val="21"/>
                <w:szCs w:val="21"/>
                <w:highlight w:val="none"/>
                <w:lang w:val="zh-TW"/>
              </w:rPr>
            </w:pPr>
            <w:r>
              <w:rPr>
                <w:rFonts w:hint="eastAsia" w:ascii="宋体" w:hAnsi="宋体" w:cs="宋体"/>
                <w:color w:val="121212"/>
                <w:sz w:val="21"/>
                <w:szCs w:val="21"/>
                <w:highlight w:val="none"/>
                <w:lang w:val="en-US" w:eastAsia="zh-CN"/>
              </w:rPr>
              <w:t>4、</w:t>
            </w:r>
            <w:r>
              <w:rPr>
                <w:rFonts w:hint="eastAsia" w:ascii="宋体" w:hAnsi="宋体" w:cs="宋体"/>
                <w:color w:val="121212"/>
                <w:sz w:val="21"/>
                <w:szCs w:val="21"/>
                <w:highlight w:val="none"/>
                <w:lang w:val="zh-TW"/>
              </w:rPr>
              <w:t>需与采购人信息</w:t>
            </w:r>
            <w:r>
              <w:rPr>
                <w:rFonts w:hint="eastAsia" w:ascii="宋体" w:hAnsi="宋体" w:cs="宋体"/>
                <w:color w:val="121212"/>
                <w:sz w:val="21"/>
                <w:szCs w:val="21"/>
                <w:highlight w:val="none"/>
                <w:lang w:val="en-US" w:eastAsia="zh-CN"/>
              </w:rPr>
              <w:t>系统</w:t>
            </w:r>
            <w:r>
              <w:rPr>
                <w:rFonts w:hint="eastAsia" w:ascii="宋体" w:hAnsi="宋体" w:cs="宋体"/>
                <w:color w:val="121212"/>
                <w:sz w:val="21"/>
                <w:szCs w:val="21"/>
                <w:highlight w:val="none"/>
                <w:lang w:val="zh-TW"/>
              </w:rPr>
              <w:t>进行对接</w:t>
            </w:r>
            <w:r>
              <w:rPr>
                <w:rFonts w:hint="eastAsia" w:ascii="宋体" w:hAnsi="宋体" w:cs="宋体"/>
                <w:color w:val="121212"/>
                <w:sz w:val="21"/>
                <w:szCs w:val="21"/>
                <w:highlight w:val="none"/>
                <w:lang w:val="zh-TW" w:eastAsia="zh-CN"/>
              </w:rPr>
              <w:t>，</w:t>
            </w:r>
            <w:r>
              <w:rPr>
                <w:rFonts w:hint="eastAsia" w:ascii="宋体" w:hAnsi="宋体" w:cs="宋体"/>
                <w:color w:val="121212"/>
                <w:sz w:val="21"/>
                <w:szCs w:val="21"/>
                <w:highlight w:val="none"/>
                <w:lang w:val="zh-TW"/>
              </w:rPr>
              <w:t>并承担接口费用</w:t>
            </w:r>
          </w:p>
          <w:p w14:paraId="37B874EF">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四、配置清单</w:t>
            </w:r>
          </w:p>
          <w:p w14:paraId="037FC5AE">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1、主机</w:t>
            </w:r>
            <w:r>
              <w:rPr>
                <w:rFonts w:hint="eastAsia" w:ascii="宋体" w:hAnsi="宋体" w:eastAsia="宋体" w:cs="宋体"/>
                <w:color w:val="121212"/>
                <w:highlight w:val="none"/>
                <w:lang w:val="zh-TW" w:eastAsia="zh-CN"/>
              </w:rPr>
              <w:t>（</w:t>
            </w:r>
            <w:r>
              <w:rPr>
                <w:rFonts w:hint="eastAsia" w:ascii="宋体" w:hAnsi="宋体" w:eastAsia="宋体" w:cs="宋体"/>
                <w:color w:val="121212"/>
                <w:highlight w:val="none"/>
                <w:lang w:val="en-US" w:eastAsia="zh-CN"/>
              </w:rPr>
              <w:t>含模块</w:t>
            </w:r>
            <w:r>
              <w:rPr>
                <w:rFonts w:hint="eastAsia" w:ascii="宋体" w:hAnsi="宋体" w:eastAsia="宋体" w:cs="宋体"/>
                <w:color w:val="121212"/>
                <w:highlight w:val="none"/>
                <w:lang w:val="zh-TW" w:eastAsia="zh-CN"/>
              </w:rPr>
              <w:t>）</w:t>
            </w:r>
            <w:r>
              <w:rPr>
                <w:rFonts w:hint="eastAsia" w:ascii="宋体" w:hAnsi="宋体" w:eastAsia="宋体" w:cs="宋体"/>
                <w:color w:val="121212"/>
                <w:highlight w:val="none"/>
                <w:lang w:val="zh-TW"/>
              </w:rPr>
              <w:t xml:space="preserve"> </w:t>
            </w:r>
            <w:r>
              <w:rPr>
                <w:rFonts w:ascii="宋体" w:hAnsi="宋体" w:eastAsia="宋体" w:cs="宋体"/>
                <w:color w:val="121212"/>
                <w:highlight w:val="none"/>
                <w:lang w:val="zh-TW"/>
              </w:rPr>
              <w:t xml:space="preserve"> 1</w:t>
            </w:r>
            <w:r>
              <w:rPr>
                <w:rFonts w:hint="eastAsia" w:ascii="宋体" w:hAnsi="宋体" w:eastAsia="宋体" w:cs="宋体"/>
                <w:color w:val="121212"/>
                <w:highlight w:val="none"/>
                <w:lang w:val="zh-TW"/>
              </w:rPr>
              <w:t>台</w:t>
            </w:r>
          </w:p>
          <w:p w14:paraId="417193AD">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 xml:space="preserve">2、电极 </w:t>
            </w:r>
            <w:r>
              <w:rPr>
                <w:rFonts w:ascii="宋体" w:hAnsi="宋体" w:eastAsia="宋体" w:cs="宋体"/>
                <w:color w:val="121212"/>
                <w:highlight w:val="none"/>
                <w:lang w:val="zh-TW"/>
              </w:rPr>
              <w:t>1</w:t>
            </w:r>
            <w:r>
              <w:rPr>
                <w:rFonts w:hint="eastAsia" w:ascii="宋体" w:hAnsi="宋体" w:eastAsia="宋体" w:cs="宋体"/>
                <w:color w:val="121212"/>
                <w:highlight w:val="none"/>
                <w:lang w:val="zh-TW"/>
              </w:rPr>
              <w:t>根</w:t>
            </w:r>
          </w:p>
          <w:p w14:paraId="65185D50">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 xml:space="preserve">3、电池 </w:t>
            </w:r>
            <w:r>
              <w:rPr>
                <w:rFonts w:ascii="宋体" w:hAnsi="宋体" w:eastAsia="宋体" w:cs="宋体"/>
                <w:color w:val="121212"/>
                <w:highlight w:val="none"/>
                <w:lang w:val="zh-TW"/>
              </w:rPr>
              <w:t>1</w:t>
            </w:r>
            <w:r>
              <w:rPr>
                <w:rFonts w:hint="eastAsia" w:ascii="宋体" w:hAnsi="宋体" w:eastAsia="宋体" w:cs="宋体"/>
                <w:color w:val="121212"/>
                <w:highlight w:val="none"/>
                <w:lang w:val="zh-TW"/>
              </w:rPr>
              <w:t>个</w:t>
            </w:r>
          </w:p>
          <w:p w14:paraId="11152271">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4、电极膜</w:t>
            </w:r>
            <w:r>
              <w:rPr>
                <w:rFonts w:ascii="宋体" w:hAnsi="宋体" w:eastAsia="宋体" w:cs="宋体"/>
                <w:color w:val="121212"/>
                <w:highlight w:val="none"/>
                <w:lang w:val="zh-TW"/>
              </w:rPr>
              <w:t xml:space="preserve"> 1</w:t>
            </w:r>
            <w:r>
              <w:rPr>
                <w:rFonts w:hint="eastAsia" w:ascii="宋体" w:hAnsi="宋体" w:eastAsia="宋体" w:cs="宋体"/>
                <w:color w:val="121212"/>
                <w:highlight w:val="none"/>
                <w:lang w:val="zh-TW"/>
              </w:rPr>
              <w:t>盒</w:t>
            </w:r>
          </w:p>
          <w:p w14:paraId="78E0E482">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5、</w:t>
            </w:r>
            <w:r>
              <w:rPr>
                <w:rFonts w:hint="eastAsia" w:ascii="宋体" w:hAnsi="宋体" w:eastAsia="宋体" w:cs="宋体"/>
                <w:color w:val="121212"/>
                <w:highlight w:val="none"/>
                <w:lang w:val="en-US" w:eastAsia="zh-CN"/>
              </w:rPr>
              <w:t>定标</w:t>
            </w:r>
            <w:r>
              <w:rPr>
                <w:rFonts w:hint="eastAsia" w:ascii="宋体" w:hAnsi="宋体" w:eastAsia="宋体" w:cs="宋体"/>
                <w:color w:val="121212"/>
                <w:highlight w:val="none"/>
                <w:lang w:val="zh-TW"/>
              </w:rPr>
              <w:t xml:space="preserve">气瓶 </w:t>
            </w:r>
            <w:r>
              <w:rPr>
                <w:rFonts w:hint="eastAsia" w:ascii="宋体" w:hAnsi="宋体" w:eastAsia="宋体" w:cs="宋体"/>
                <w:color w:val="121212"/>
                <w:highlight w:val="none"/>
                <w:lang w:val="en-US" w:eastAsia="zh-CN"/>
              </w:rPr>
              <w:t>4</w:t>
            </w:r>
            <w:r>
              <w:rPr>
                <w:rFonts w:hint="eastAsia" w:ascii="宋体" w:hAnsi="宋体" w:eastAsia="宋体" w:cs="宋体"/>
                <w:color w:val="121212"/>
                <w:highlight w:val="none"/>
                <w:lang w:val="zh-TW"/>
              </w:rPr>
              <w:t>个</w:t>
            </w:r>
          </w:p>
          <w:p w14:paraId="604F64F6">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 xml:space="preserve">6、说明书 </w:t>
            </w:r>
            <w:r>
              <w:rPr>
                <w:rFonts w:ascii="宋体" w:hAnsi="宋体" w:eastAsia="宋体" w:cs="宋体"/>
                <w:color w:val="121212"/>
                <w:highlight w:val="none"/>
                <w:lang w:val="zh-TW"/>
              </w:rPr>
              <w:t>1</w:t>
            </w:r>
            <w:r>
              <w:rPr>
                <w:rFonts w:hint="eastAsia" w:ascii="宋体" w:hAnsi="宋体" w:eastAsia="宋体" w:cs="宋体"/>
                <w:color w:val="121212"/>
                <w:highlight w:val="none"/>
                <w:lang w:val="zh-TW"/>
              </w:rPr>
              <w:t>本</w:t>
            </w:r>
          </w:p>
          <w:p w14:paraId="54A26D6D">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color w:val="121212"/>
                <w:highlight w:val="none"/>
                <w:lang w:val="zh-TW"/>
              </w:rPr>
            </w:pPr>
            <w:r>
              <w:rPr>
                <w:rFonts w:hint="eastAsia" w:ascii="宋体" w:hAnsi="宋体" w:eastAsia="宋体" w:cs="宋体"/>
                <w:color w:val="121212"/>
                <w:highlight w:val="none"/>
                <w:lang w:val="zh-TW"/>
              </w:rPr>
              <w:t xml:space="preserve">7、固定环 </w:t>
            </w:r>
            <w:r>
              <w:rPr>
                <w:rFonts w:hint="eastAsia" w:ascii="宋体" w:hAnsi="宋体" w:eastAsia="宋体" w:cs="宋体"/>
                <w:color w:val="121212"/>
                <w:highlight w:val="none"/>
                <w:lang w:val="en-US" w:eastAsia="zh-CN"/>
              </w:rPr>
              <w:t>2</w:t>
            </w:r>
            <w:r>
              <w:rPr>
                <w:rFonts w:hint="eastAsia" w:ascii="宋体" w:hAnsi="宋体" w:eastAsia="宋体" w:cs="宋体"/>
                <w:color w:val="121212"/>
                <w:highlight w:val="none"/>
                <w:lang w:val="zh-TW"/>
              </w:rPr>
              <w:t>盒</w:t>
            </w:r>
          </w:p>
          <w:p w14:paraId="5F49BC72">
            <w:pPr>
              <w:pStyle w:val="3"/>
              <w:snapToGrid w:val="0"/>
              <w:spacing w:before="0" w:line="360" w:lineRule="auto"/>
              <w:rPr>
                <w:rFonts w:ascii="宋体" w:hAnsi="宋体"/>
                <w:b/>
                <w:bCs/>
                <w:color w:val="121212"/>
                <w:sz w:val="21"/>
                <w:szCs w:val="21"/>
                <w:highlight w:val="none"/>
              </w:rPr>
            </w:pPr>
            <w:r>
              <w:rPr>
                <w:rFonts w:hint="eastAsia" w:ascii="宋体" w:hAnsi="宋体"/>
                <w:b/>
                <w:bCs/>
                <w:color w:val="121212"/>
                <w:sz w:val="21"/>
                <w:szCs w:val="21"/>
                <w:highlight w:val="none"/>
              </w:rPr>
              <w:t>五、质保期要求</w:t>
            </w:r>
            <w:bookmarkStart w:id="0" w:name="_GoBack"/>
            <w:bookmarkEnd w:id="0"/>
          </w:p>
          <w:p w14:paraId="4621647B">
            <w:pPr>
              <w:autoSpaceDE/>
              <w:autoSpaceDN/>
              <w:snapToGrid w:val="0"/>
              <w:spacing w:line="360" w:lineRule="auto"/>
              <w:jc w:val="both"/>
              <w:rPr>
                <w:rFonts w:hint="eastAsia"/>
                <w:color w:val="121212"/>
                <w:sz w:val="21"/>
                <w:szCs w:val="21"/>
                <w:lang w:val="zh-TW"/>
              </w:rPr>
            </w:pPr>
            <w:r>
              <w:rPr>
                <w:rFonts w:ascii="宋体" w:hAnsi="宋体" w:eastAsia="宋体"/>
                <w:color w:val="121212"/>
                <w:highlight w:val="none"/>
              </w:rPr>
              <w:t>质保</w:t>
            </w:r>
            <w:r>
              <w:rPr>
                <w:rFonts w:hint="eastAsia" w:ascii="宋体" w:hAnsi="宋体" w:eastAsia="宋体"/>
                <w:color w:val="121212"/>
                <w:highlight w:val="none"/>
                <w:lang w:val="en-US" w:eastAsia="zh-CN"/>
              </w:rPr>
              <w:t>3</w:t>
            </w:r>
            <w:r>
              <w:rPr>
                <w:rFonts w:ascii="宋体" w:hAnsi="宋体" w:eastAsia="宋体"/>
                <w:color w:val="121212"/>
                <w:highlight w:val="none"/>
              </w:rPr>
              <w:t>年，在</w:t>
            </w:r>
            <w:r>
              <w:rPr>
                <w:rFonts w:hint="eastAsia" w:ascii="宋体" w:hAnsi="宋体"/>
                <w:color w:val="121212"/>
                <w:highlight w:val="none"/>
              </w:rPr>
              <w:t>质保</w:t>
            </w:r>
            <w:r>
              <w:rPr>
                <w:rFonts w:ascii="宋体" w:hAnsi="宋体" w:eastAsia="宋体"/>
                <w:color w:val="121212"/>
                <w:highlight w:val="none"/>
              </w:rPr>
              <w:t>期内，除非人为损坏情况</w:t>
            </w:r>
            <w:r>
              <w:rPr>
                <w:rFonts w:hint="eastAsia" w:ascii="宋体" w:hAnsi="宋体"/>
                <w:color w:val="121212"/>
                <w:highlight w:val="none"/>
              </w:rPr>
              <w:t>外，</w:t>
            </w:r>
            <w:r>
              <w:rPr>
                <w:rFonts w:ascii="宋体" w:hAnsi="宋体" w:eastAsia="宋体"/>
                <w:color w:val="121212"/>
                <w:highlight w:val="none"/>
              </w:rPr>
              <w:t>实行保修、提供备品备件、更换配件等所需费用包含在合同金额中。质保期外，按照</w:t>
            </w:r>
            <w:r>
              <w:rPr>
                <w:rFonts w:hint="eastAsia" w:ascii="宋体" w:hAnsi="宋体"/>
                <w:color w:val="121212"/>
                <w:highlight w:val="none"/>
              </w:rPr>
              <w:t>双方</w:t>
            </w:r>
            <w:r>
              <w:rPr>
                <w:rFonts w:ascii="宋体" w:hAnsi="宋体" w:eastAsia="宋体"/>
                <w:color w:val="121212"/>
                <w:highlight w:val="none"/>
              </w:rPr>
              <w:t>约定，实行最低收费标准</w:t>
            </w:r>
            <w:r>
              <w:rPr>
                <w:rFonts w:ascii="宋体" w:hAnsi="宋体" w:eastAsia="宋体"/>
                <w:color w:val="121212"/>
              </w:rPr>
              <w:t>（提供具体收费标准）</w:t>
            </w:r>
            <w:r>
              <w:rPr>
                <w:rFonts w:hint="eastAsia" w:ascii="宋体" w:hAnsi="宋体"/>
                <w:color w:val="121212"/>
              </w:rPr>
              <w:t>。</w:t>
            </w:r>
          </w:p>
          <w:p w14:paraId="083DA198">
            <w:pPr>
              <w:pStyle w:val="19"/>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adjustRightInd w:val="0"/>
              <w:snapToGrid w:val="0"/>
              <w:spacing w:line="360" w:lineRule="auto"/>
              <w:rPr>
                <w:rFonts w:hint="eastAsia" w:ascii="宋体" w:hAnsi="宋体" w:eastAsia="宋体" w:cs="宋体"/>
                <w:b/>
                <w:bCs/>
                <w:color w:val="121212"/>
                <w:lang w:val="zh-TW"/>
              </w:rPr>
            </w:pPr>
          </w:p>
        </w:tc>
      </w:tr>
      <w:tr w14:paraId="49BFE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5" w:type="dxa"/>
          </w:tcPr>
          <w:p w14:paraId="31A415D1">
            <w:pPr>
              <w:rPr>
                <w:sz w:val="21"/>
                <w:szCs w:val="21"/>
              </w:rPr>
            </w:pPr>
            <w:r>
              <w:rPr>
                <w:sz w:val="21"/>
                <w:szCs w:val="21"/>
              </w:rPr>
              <w:t>说明</w:t>
            </w:r>
          </w:p>
        </w:tc>
        <w:tc>
          <w:tcPr>
            <w:tcW w:w="7187" w:type="dxa"/>
            <w:gridSpan w:val="2"/>
          </w:tcPr>
          <w:p w14:paraId="13FB6372">
            <w:pPr>
              <w:rPr>
                <w:sz w:val="21"/>
                <w:szCs w:val="21"/>
              </w:rPr>
            </w:pPr>
            <w:r>
              <w:rPr>
                <w:sz w:val="21"/>
                <w:szCs w:val="21"/>
              </w:rPr>
              <w:t>打“★”号条款为实质性条款，若有任何一条负偏离或不满足则导致投标无效。</w:t>
            </w:r>
            <w:r>
              <w:rPr>
                <w:sz w:val="21"/>
                <w:szCs w:val="21"/>
              </w:rPr>
              <w:br w:type="textWrapping"/>
            </w:r>
            <w:r>
              <w:rPr>
                <w:sz w:val="21"/>
                <w:szCs w:val="21"/>
              </w:rPr>
              <w:t>打“▲”号条款为重要技术参数，若有部分“▲”条款未响应或不满足，将导致其响应性评审加重扣分，但不作为无效投标条款。</w:t>
            </w:r>
          </w:p>
        </w:tc>
      </w:tr>
    </w:tbl>
    <w:p w14:paraId="569DF4ED">
      <w:pPr>
        <w:spacing w:line="360" w:lineRule="auto"/>
        <w:rPr>
          <w:b/>
          <w:bCs/>
          <w:spacing w:val="-10"/>
          <w:sz w:val="28"/>
          <w:szCs w:val="28"/>
        </w:rPr>
      </w:pPr>
    </w:p>
    <w:p w14:paraId="3EFCB3EE">
      <w:pPr>
        <w:spacing w:line="360" w:lineRule="auto"/>
        <w:rPr>
          <w:b/>
          <w:bCs/>
          <w:spacing w:val="-10"/>
          <w:sz w:val="28"/>
          <w:szCs w:val="28"/>
        </w:rPr>
      </w:pPr>
      <w:r>
        <w:rPr>
          <w:rFonts w:hint="eastAsia"/>
          <w:b/>
          <w:bCs/>
          <w:spacing w:val="-10"/>
          <w:sz w:val="28"/>
          <w:szCs w:val="28"/>
        </w:rPr>
        <w:t>二、商务参数</w:t>
      </w:r>
    </w:p>
    <w:tbl>
      <w:tblPr>
        <w:tblStyle w:val="8"/>
        <w:tblW w:w="9623"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56"/>
        <w:gridCol w:w="7567"/>
      </w:tblGrid>
      <w:tr w14:paraId="53679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0" w:hRule="atLeast"/>
          <w:jc w:val="center"/>
        </w:trPr>
        <w:tc>
          <w:tcPr>
            <w:tcW w:w="2056" w:type="dxa"/>
            <w:vAlign w:val="center"/>
          </w:tcPr>
          <w:p w14:paraId="0EABAF56">
            <w:pPr>
              <w:jc w:val="center"/>
              <w:rPr>
                <w:sz w:val="21"/>
                <w:szCs w:val="21"/>
              </w:rPr>
            </w:pPr>
            <w:r>
              <w:rPr>
                <w:sz w:val="21"/>
                <w:szCs w:val="21"/>
              </w:rPr>
              <w:t>标的提供的时间</w:t>
            </w:r>
          </w:p>
        </w:tc>
        <w:tc>
          <w:tcPr>
            <w:tcW w:w="7567" w:type="dxa"/>
            <w:vAlign w:val="center"/>
          </w:tcPr>
          <w:p w14:paraId="5EB3D9CD">
            <w:pPr>
              <w:rPr>
                <w:rFonts w:hint="eastAsia"/>
                <w:sz w:val="21"/>
                <w:szCs w:val="21"/>
              </w:rPr>
            </w:pPr>
            <w:r>
              <w:rPr>
                <w:sz w:val="21"/>
                <w:szCs w:val="21"/>
              </w:rPr>
              <w:t>自合同签订之日起</w:t>
            </w:r>
            <w:r>
              <w:rPr>
                <w:rFonts w:hint="eastAsia"/>
                <w:sz w:val="21"/>
                <w:szCs w:val="21"/>
              </w:rPr>
              <w:t>30</w:t>
            </w:r>
            <w:r>
              <w:rPr>
                <w:sz w:val="21"/>
                <w:szCs w:val="21"/>
              </w:rPr>
              <w:t>天内完成供货、安装和调试</w:t>
            </w:r>
          </w:p>
        </w:tc>
      </w:tr>
      <w:tr w14:paraId="2FC63B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99" w:hRule="atLeast"/>
          <w:jc w:val="center"/>
        </w:trPr>
        <w:tc>
          <w:tcPr>
            <w:tcW w:w="2056" w:type="dxa"/>
            <w:vAlign w:val="center"/>
          </w:tcPr>
          <w:p w14:paraId="68B3C260">
            <w:pPr>
              <w:jc w:val="center"/>
              <w:rPr>
                <w:sz w:val="21"/>
                <w:szCs w:val="21"/>
              </w:rPr>
            </w:pPr>
            <w:r>
              <w:rPr>
                <w:sz w:val="21"/>
                <w:szCs w:val="21"/>
              </w:rPr>
              <w:t>标的提供的地点</w:t>
            </w:r>
          </w:p>
        </w:tc>
        <w:tc>
          <w:tcPr>
            <w:tcW w:w="7567" w:type="dxa"/>
            <w:vAlign w:val="center"/>
          </w:tcPr>
          <w:p w14:paraId="24E0FBA4">
            <w:pPr>
              <w:rPr>
                <w:sz w:val="21"/>
                <w:szCs w:val="21"/>
              </w:rPr>
            </w:pPr>
            <w:r>
              <w:rPr>
                <w:rFonts w:hint="eastAsia"/>
                <w:sz w:val="21"/>
                <w:szCs w:val="21"/>
              </w:rPr>
              <w:t>广州市海珠区杏园大街15号</w:t>
            </w:r>
          </w:p>
        </w:tc>
      </w:tr>
      <w:tr w14:paraId="2D5CD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056" w:type="dxa"/>
            <w:vAlign w:val="center"/>
          </w:tcPr>
          <w:p w14:paraId="417523D4">
            <w:pPr>
              <w:jc w:val="center"/>
              <w:rPr>
                <w:sz w:val="21"/>
                <w:szCs w:val="21"/>
              </w:rPr>
            </w:pPr>
            <w:r>
              <w:rPr>
                <w:sz w:val="21"/>
                <w:szCs w:val="21"/>
              </w:rPr>
              <w:t>付款方式</w:t>
            </w:r>
          </w:p>
        </w:tc>
        <w:tc>
          <w:tcPr>
            <w:tcW w:w="7567" w:type="dxa"/>
            <w:vAlign w:val="center"/>
          </w:tcPr>
          <w:p w14:paraId="32E59B86">
            <w:pPr>
              <w:pStyle w:val="21"/>
              <w:adjustRightInd w:val="0"/>
              <w:snapToGrid w:val="0"/>
              <w:spacing w:line="360" w:lineRule="auto"/>
              <w:rPr>
                <w:rFonts w:hint="default" w:ascii="宋体" w:hAnsi="宋体"/>
                <w:sz w:val="21"/>
                <w:lang w:eastAsia="zh-CN"/>
              </w:rPr>
            </w:pPr>
            <w:r>
              <w:rPr>
                <w:rFonts w:ascii="宋体" w:hAnsi="宋体"/>
                <w:sz w:val="21"/>
                <w:lang w:eastAsia="zh-CN"/>
              </w:rPr>
              <w:t>1期：支付比例100%,所有设备安装调试、验收合格后，采购人于收到全额发票之日起5个工作日内支付合同总额100%。</w:t>
            </w:r>
          </w:p>
          <w:p w14:paraId="76578036">
            <w:pPr>
              <w:pStyle w:val="21"/>
              <w:adjustRightInd w:val="0"/>
              <w:snapToGrid w:val="0"/>
              <w:spacing w:line="360" w:lineRule="auto"/>
              <w:rPr>
                <w:rFonts w:hint="default" w:ascii="宋体" w:hAnsi="宋体"/>
                <w:sz w:val="21"/>
                <w:lang w:eastAsia="zh-CN"/>
              </w:rPr>
            </w:pPr>
            <w:r>
              <w:rPr>
                <w:rFonts w:ascii="宋体" w:hAnsi="宋体"/>
                <w:sz w:val="21"/>
                <w:lang w:eastAsia="zh-CN"/>
              </w:rPr>
              <w:t>1、具体付款要求如下：合同设备到达采购人指定地点交付并完成安装验收后，凭以下材料结算：</w:t>
            </w:r>
          </w:p>
          <w:p w14:paraId="6F4883D1">
            <w:pPr>
              <w:pStyle w:val="21"/>
              <w:adjustRightInd w:val="0"/>
              <w:snapToGrid w:val="0"/>
              <w:spacing w:line="360" w:lineRule="auto"/>
              <w:rPr>
                <w:rFonts w:hint="default" w:ascii="宋体" w:hAnsi="宋体"/>
                <w:sz w:val="21"/>
                <w:lang w:eastAsia="zh-CN"/>
              </w:rPr>
            </w:pPr>
            <w:r>
              <w:rPr>
                <w:rFonts w:ascii="宋体" w:hAnsi="宋体"/>
                <w:sz w:val="21"/>
                <w:lang w:eastAsia="zh-CN"/>
              </w:rPr>
              <w:t>（1）合同；</w:t>
            </w:r>
          </w:p>
          <w:p w14:paraId="756A861F">
            <w:pPr>
              <w:pStyle w:val="21"/>
              <w:adjustRightInd w:val="0"/>
              <w:snapToGrid w:val="0"/>
              <w:spacing w:line="360" w:lineRule="auto"/>
              <w:rPr>
                <w:rFonts w:hint="default" w:ascii="宋体" w:hAnsi="宋体"/>
                <w:sz w:val="21"/>
                <w:lang w:eastAsia="zh-CN"/>
              </w:rPr>
            </w:pPr>
            <w:r>
              <w:rPr>
                <w:rFonts w:ascii="宋体" w:hAnsi="宋体"/>
                <w:sz w:val="21"/>
                <w:lang w:eastAsia="zh-CN"/>
              </w:rPr>
              <w:t>（2）中标人开具的全额正式发票原件；</w:t>
            </w:r>
          </w:p>
          <w:p w14:paraId="6920DEEF">
            <w:pPr>
              <w:pStyle w:val="21"/>
              <w:adjustRightInd w:val="0"/>
              <w:snapToGrid w:val="0"/>
              <w:spacing w:line="360" w:lineRule="auto"/>
              <w:rPr>
                <w:rFonts w:hint="default" w:ascii="宋体" w:hAnsi="宋体"/>
                <w:sz w:val="21"/>
                <w:lang w:eastAsia="zh-CN"/>
              </w:rPr>
            </w:pPr>
            <w:r>
              <w:rPr>
                <w:rFonts w:ascii="宋体" w:hAnsi="宋体"/>
                <w:sz w:val="21"/>
                <w:lang w:eastAsia="zh-CN"/>
              </w:rPr>
              <w:t>（3）验收调试报告；</w:t>
            </w:r>
          </w:p>
          <w:p w14:paraId="6BA6E1C4">
            <w:pPr>
              <w:pStyle w:val="21"/>
              <w:adjustRightInd w:val="0"/>
              <w:snapToGrid w:val="0"/>
              <w:spacing w:line="360" w:lineRule="auto"/>
              <w:rPr>
                <w:rFonts w:hint="default" w:ascii="宋体" w:hAnsi="宋体"/>
                <w:sz w:val="21"/>
                <w:lang w:eastAsia="zh-CN"/>
              </w:rPr>
            </w:pPr>
            <w:r>
              <w:rPr>
                <w:rFonts w:ascii="宋体" w:hAnsi="宋体"/>
                <w:sz w:val="21"/>
                <w:lang w:eastAsia="zh-CN"/>
              </w:rPr>
              <w:t>（4）提供有效期内的由计量部门出具的检定（校准）报告（计量设备要求提供）。</w:t>
            </w:r>
          </w:p>
          <w:p w14:paraId="438FEF82">
            <w:pPr>
              <w:pStyle w:val="21"/>
              <w:adjustRightInd w:val="0"/>
              <w:snapToGrid w:val="0"/>
              <w:spacing w:line="360" w:lineRule="auto"/>
              <w:rPr>
                <w:rFonts w:ascii="宋体" w:hAnsi="宋体"/>
                <w:sz w:val="21"/>
                <w:lang w:eastAsia="zh-CN"/>
              </w:rPr>
            </w:pPr>
            <w:r>
              <w:rPr>
                <w:rFonts w:ascii="宋体" w:hAnsi="宋体"/>
                <w:sz w:val="21"/>
                <w:lang w:eastAsia="zh-CN"/>
              </w:rPr>
              <w:t>2、付款时间：执行国库集中支付的，采购人仅负责在上述约定时间内完成申报手续，采购人完成申报手续即视为采购人完成合同约定的支付义务。由于此次使用经费是财政下达的专项债经费，根据专项债经费下达的时间进行支付。</w:t>
            </w:r>
          </w:p>
        </w:tc>
      </w:tr>
      <w:tr w14:paraId="1775B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056" w:type="dxa"/>
            <w:vAlign w:val="center"/>
          </w:tcPr>
          <w:p w14:paraId="387F350F">
            <w:pPr>
              <w:jc w:val="center"/>
              <w:rPr>
                <w:sz w:val="21"/>
                <w:szCs w:val="21"/>
              </w:rPr>
            </w:pPr>
            <w:r>
              <w:rPr>
                <w:sz w:val="21"/>
                <w:szCs w:val="21"/>
              </w:rPr>
              <w:t>验收要求</w:t>
            </w:r>
          </w:p>
        </w:tc>
        <w:tc>
          <w:tcPr>
            <w:tcW w:w="7567" w:type="dxa"/>
            <w:vAlign w:val="center"/>
          </w:tcPr>
          <w:p w14:paraId="2AA10C30">
            <w:pPr>
              <w:snapToGrid w:val="0"/>
              <w:spacing w:line="360" w:lineRule="auto"/>
              <w:rPr>
                <w:sz w:val="21"/>
                <w:szCs w:val="21"/>
              </w:rPr>
            </w:pPr>
            <w:r>
              <w:rPr>
                <w:sz w:val="21"/>
                <w:szCs w:val="21"/>
              </w:rPr>
              <w:t>1期：</w:t>
            </w:r>
          </w:p>
          <w:p w14:paraId="27B8F586">
            <w:pPr>
              <w:snapToGrid w:val="0"/>
              <w:spacing w:line="360" w:lineRule="auto"/>
              <w:rPr>
                <w:sz w:val="21"/>
                <w:szCs w:val="21"/>
              </w:rPr>
            </w:pPr>
            <w:r>
              <w:rPr>
                <w:sz w:val="21"/>
                <w:szCs w:val="21"/>
              </w:rPr>
              <w:t>1、合同设备安装调试及培训完成，确保正常使用后进行验收，验收应在双方共同参加下进行。</w:t>
            </w:r>
          </w:p>
          <w:p w14:paraId="14705054">
            <w:pPr>
              <w:snapToGrid w:val="0"/>
              <w:spacing w:line="360" w:lineRule="auto"/>
              <w:rPr>
                <w:sz w:val="21"/>
                <w:szCs w:val="21"/>
              </w:rPr>
            </w:pPr>
            <w:r>
              <w:rPr>
                <w:sz w:val="21"/>
                <w:szCs w:val="21"/>
              </w:rPr>
              <w:t>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人承担。</w:t>
            </w:r>
          </w:p>
          <w:p w14:paraId="5B4A3C21">
            <w:pPr>
              <w:snapToGrid w:val="0"/>
              <w:spacing w:line="360" w:lineRule="auto"/>
              <w:rPr>
                <w:sz w:val="21"/>
                <w:szCs w:val="21"/>
              </w:rPr>
            </w:pPr>
            <w:r>
              <w:rPr>
                <w:sz w:val="21"/>
                <w:szCs w:val="21"/>
              </w:rPr>
              <w:t>3、如果合同设备运输和安装过程中因事故造成货物短缺、损坏，中标人应及时安排换装，以保证合同设备安装的成功完成。换货的相关费用由中标人承担。</w:t>
            </w:r>
          </w:p>
          <w:p w14:paraId="33F585C7">
            <w:pPr>
              <w:snapToGrid w:val="0"/>
              <w:spacing w:line="360" w:lineRule="auto"/>
              <w:rPr>
                <w:sz w:val="21"/>
                <w:szCs w:val="21"/>
              </w:rPr>
            </w:pPr>
            <w:r>
              <w:rPr>
                <w:sz w:val="21"/>
                <w:szCs w:val="21"/>
              </w:rPr>
              <w:t>4、中标人保证合同项下提供的设备不侵犯任何第三方的专利、商标或版权。否则，中标人须承担对第三方的专利或版权的侵权责任并承担因此而发生的所有费用。</w:t>
            </w:r>
          </w:p>
          <w:p w14:paraId="23B8F738">
            <w:pPr>
              <w:snapToGrid w:val="0"/>
              <w:spacing w:line="360" w:lineRule="auto"/>
              <w:rPr>
                <w:sz w:val="21"/>
                <w:szCs w:val="21"/>
              </w:rPr>
            </w:pPr>
            <w:r>
              <w:rPr>
                <w:sz w:val="21"/>
                <w:szCs w:val="21"/>
              </w:rPr>
              <w:t>5、货物为原厂商未启封全新包装，具有出厂合格证，序列号、包装箱号与出厂批号一致，所有随设备的附件必须齐全，使用操作及安全须知等重要资料应附有中文说明。</w:t>
            </w:r>
          </w:p>
          <w:p w14:paraId="38173A20">
            <w:pPr>
              <w:snapToGrid w:val="0"/>
              <w:spacing w:line="360" w:lineRule="auto"/>
              <w:rPr>
                <w:sz w:val="21"/>
                <w:szCs w:val="21"/>
              </w:rPr>
            </w:pPr>
            <w:r>
              <w:rPr>
                <w:sz w:val="21"/>
                <w:szCs w:val="21"/>
              </w:rPr>
              <w:t>6、设备安装验收合格后,中标人必须将设备的整套技术资料（中英文）包括用户手册、操作手册（使用说明）、维修保养手册，基本原理图或有关电路图、安装手册/产品合格证及配备件、随机工具等交给采购人，同时提供所有仪器设备的使用及维护的培训，费用包含在投标报价中。</w:t>
            </w:r>
          </w:p>
          <w:p w14:paraId="3BCC916F">
            <w:pPr>
              <w:pStyle w:val="21"/>
              <w:adjustRightInd w:val="0"/>
              <w:snapToGrid w:val="0"/>
              <w:spacing w:line="360" w:lineRule="auto"/>
              <w:rPr>
                <w:rFonts w:ascii="宋体" w:hAnsi="宋体"/>
                <w:sz w:val="21"/>
                <w:lang w:eastAsia="zh-CN"/>
              </w:rPr>
            </w:pPr>
            <w:r>
              <w:rPr>
                <w:rFonts w:ascii="宋体" w:hAnsi="宋体"/>
                <w:sz w:val="21"/>
                <w:szCs w:val="21"/>
              </w:rPr>
              <w:t xml:space="preserve">7、如国家规定的需要量值溯源的医用计量器具（含强检及非强检计量器具），由中标人负责完成首检，验收前中标人须提供鉴定或校准证书。  </w:t>
            </w:r>
          </w:p>
        </w:tc>
      </w:tr>
      <w:tr w14:paraId="625D6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12" w:hRule="atLeast"/>
          <w:jc w:val="center"/>
        </w:trPr>
        <w:tc>
          <w:tcPr>
            <w:tcW w:w="2056" w:type="dxa"/>
            <w:vAlign w:val="center"/>
          </w:tcPr>
          <w:p w14:paraId="4E14BA7C">
            <w:pPr>
              <w:jc w:val="center"/>
              <w:rPr>
                <w:sz w:val="21"/>
                <w:szCs w:val="21"/>
              </w:rPr>
            </w:pPr>
            <w:r>
              <w:rPr>
                <w:sz w:val="21"/>
                <w:szCs w:val="21"/>
              </w:rPr>
              <w:t>履约保证金</w:t>
            </w:r>
          </w:p>
        </w:tc>
        <w:tc>
          <w:tcPr>
            <w:tcW w:w="7567" w:type="dxa"/>
            <w:vAlign w:val="center"/>
          </w:tcPr>
          <w:p w14:paraId="13A09A1A">
            <w:pPr>
              <w:rPr>
                <w:sz w:val="21"/>
                <w:szCs w:val="21"/>
              </w:rPr>
            </w:pPr>
            <w:r>
              <w:rPr>
                <w:sz w:val="21"/>
                <w:szCs w:val="21"/>
              </w:rPr>
              <w:t>不收取</w:t>
            </w:r>
          </w:p>
        </w:tc>
      </w:tr>
      <w:tr w14:paraId="3C2C0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06" w:hRule="atLeast"/>
          <w:jc w:val="center"/>
        </w:trPr>
        <w:tc>
          <w:tcPr>
            <w:tcW w:w="2056" w:type="dxa"/>
            <w:vAlign w:val="center"/>
          </w:tcPr>
          <w:p w14:paraId="7A154F63">
            <w:pPr>
              <w:jc w:val="center"/>
              <w:rPr>
                <w:sz w:val="21"/>
                <w:szCs w:val="21"/>
              </w:rPr>
            </w:pPr>
            <w:r>
              <w:rPr>
                <w:rFonts w:hint="eastAsia"/>
                <w:sz w:val="21"/>
                <w:szCs w:val="21"/>
              </w:rPr>
              <w:t>其他</w:t>
            </w:r>
          </w:p>
        </w:tc>
        <w:tc>
          <w:tcPr>
            <w:tcW w:w="7567" w:type="dxa"/>
          </w:tcPr>
          <w:p w14:paraId="78FD8360">
            <w:pPr>
              <w:snapToGrid w:val="0"/>
              <w:spacing w:line="360" w:lineRule="auto"/>
              <w:rPr>
                <w:sz w:val="21"/>
                <w:szCs w:val="21"/>
              </w:rPr>
            </w:pPr>
            <w:r>
              <w:rPr>
                <w:sz w:val="21"/>
                <w:szCs w:val="21"/>
              </w:rPr>
              <w:t>1、包装：设备材料的包装必须是制造商原厂包装，其包装均应有良好的防湿、防锈、防潮、防雨、防腐及防碰撞的措施。凡由于包装不良造成的损失和由此产生的费用均由中标人承担。</w:t>
            </w:r>
          </w:p>
          <w:p w14:paraId="4AD8D62F">
            <w:pPr>
              <w:snapToGrid w:val="0"/>
              <w:spacing w:line="360" w:lineRule="auto"/>
              <w:rPr>
                <w:sz w:val="21"/>
                <w:szCs w:val="21"/>
              </w:rPr>
            </w:pPr>
            <w:r>
              <w:rPr>
                <w:sz w:val="21"/>
                <w:szCs w:val="21"/>
              </w:rPr>
              <w:t>2、保管及安装：</w:t>
            </w:r>
          </w:p>
          <w:p w14:paraId="41440C27">
            <w:pPr>
              <w:snapToGrid w:val="0"/>
              <w:spacing w:line="360" w:lineRule="auto"/>
              <w:rPr>
                <w:sz w:val="21"/>
                <w:szCs w:val="21"/>
              </w:rPr>
            </w:pPr>
            <w:r>
              <w:rPr>
                <w:sz w:val="21"/>
                <w:szCs w:val="21"/>
              </w:rPr>
              <w:t>2.1中标人负责合同项下的安装调试，包含接入医院信息系统、安防系统（根据采购人需求），一切费用由中标人负责。</w:t>
            </w:r>
          </w:p>
          <w:p w14:paraId="3E0BE9A6">
            <w:pPr>
              <w:snapToGrid w:val="0"/>
              <w:spacing w:line="360" w:lineRule="auto"/>
              <w:rPr>
                <w:sz w:val="21"/>
                <w:szCs w:val="21"/>
              </w:rPr>
            </w:pPr>
            <w:r>
              <w:rPr>
                <w:sz w:val="21"/>
                <w:szCs w:val="21"/>
              </w:rPr>
              <w:t>2.2中标人安装时须对各安装场地内的其他设备、设施有良好保护措施。</w:t>
            </w:r>
          </w:p>
          <w:p w14:paraId="7727C8EB">
            <w:pPr>
              <w:snapToGrid w:val="0"/>
              <w:spacing w:line="360" w:lineRule="auto"/>
              <w:rPr>
                <w:sz w:val="21"/>
                <w:szCs w:val="21"/>
              </w:rPr>
            </w:pPr>
            <w:r>
              <w:rPr>
                <w:sz w:val="21"/>
                <w:szCs w:val="21"/>
              </w:rPr>
              <w:t>2.3所有新购设备需要的备品备件、专用工具、保险、设备运输、卸货、搬运、安装、调试、检验、培训、技术服务、管线连接等已包含在合同总价中。</w:t>
            </w:r>
          </w:p>
          <w:p w14:paraId="7C4542F4">
            <w:pPr>
              <w:snapToGrid w:val="0"/>
              <w:spacing w:line="360" w:lineRule="auto"/>
              <w:rPr>
                <w:sz w:val="21"/>
                <w:szCs w:val="21"/>
              </w:rPr>
            </w:pPr>
            <w:r>
              <w:rPr>
                <w:sz w:val="21"/>
                <w:szCs w:val="21"/>
              </w:rPr>
              <w:t>2.4各种设备，必须提供装箱清单，按装箱清单验收货物。</w:t>
            </w:r>
          </w:p>
          <w:p w14:paraId="30AB3F2C">
            <w:pPr>
              <w:snapToGrid w:val="0"/>
              <w:spacing w:line="360" w:lineRule="auto"/>
              <w:rPr>
                <w:sz w:val="21"/>
                <w:szCs w:val="21"/>
              </w:rPr>
            </w:pPr>
            <w:r>
              <w:rPr>
                <w:sz w:val="21"/>
                <w:szCs w:val="21"/>
              </w:rPr>
              <w:t>2.5货物在现场的保管由中标人负责，直至项目安装、验收完毕。</w:t>
            </w:r>
          </w:p>
          <w:p w14:paraId="0BE11828">
            <w:pPr>
              <w:snapToGrid w:val="0"/>
              <w:spacing w:line="360" w:lineRule="auto"/>
              <w:rPr>
                <w:sz w:val="21"/>
                <w:szCs w:val="21"/>
              </w:rPr>
            </w:pPr>
            <w:r>
              <w:rPr>
                <w:sz w:val="21"/>
                <w:szCs w:val="21"/>
              </w:rPr>
              <w:t>2.6货物在系统安装调试验收合格前的保险由中标人负责，中标人负责其派出的现场服务人员人身意外保险，安装人员必须持证上岗，需严格按照国家标准和安装质量标准要求进行施工，必须配好一切安全防护设施。因违规操作而导致在安装过程中发生人身意外伤害、设备的损坏、遗失等事故责任由中标人自负。</w:t>
            </w:r>
          </w:p>
          <w:p w14:paraId="4757571D">
            <w:pPr>
              <w:snapToGrid w:val="0"/>
              <w:spacing w:line="360" w:lineRule="auto"/>
              <w:rPr>
                <w:sz w:val="21"/>
                <w:szCs w:val="21"/>
              </w:rPr>
            </w:pPr>
            <w:r>
              <w:rPr>
                <w:sz w:val="21"/>
                <w:szCs w:val="21"/>
              </w:rPr>
              <w:t>3、质量保证期：</w:t>
            </w:r>
          </w:p>
          <w:p w14:paraId="1A4108C4">
            <w:pPr>
              <w:snapToGrid w:val="0"/>
              <w:spacing w:line="360" w:lineRule="auto"/>
              <w:rPr>
                <w:sz w:val="21"/>
                <w:szCs w:val="21"/>
              </w:rPr>
            </w:pPr>
            <w:r>
              <w:rPr>
                <w:sz w:val="21"/>
                <w:szCs w:val="21"/>
              </w:rPr>
              <w:t>3.1中标人保证合同设备是全新、未曾使用过、符合国家有关法律规定的产品，其质量、规格及技术特征符合合同附件的要求。</w:t>
            </w:r>
          </w:p>
          <w:p w14:paraId="13C2B430">
            <w:pPr>
              <w:snapToGrid w:val="0"/>
              <w:spacing w:line="360" w:lineRule="auto"/>
              <w:rPr>
                <w:sz w:val="21"/>
                <w:szCs w:val="21"/>
              </w:rPr>
            </w:pPr>
            <w:r>
              <w:rPr>
                <w:sz w:val="21"/>
                <w:szCs w:val="21"/>
              </w:rPr>
              <w:t>3.2合同设备保修期为本项目有关部门验收签字之日起保修</w:t>
            </w:r>
            <w:r>
              <w:rPr>
                <w:rFonts w:hint="eastAsia"/>
                <w:sz w:val="21"/>
                <w:szCs w:val="21"/>
              </w:rPr>
              <w:t>3</w:t>
            </w:r>
            <w:r>
              <w:rPr>
                <w:sz w:val="21"/>
                <w:szCs w:val="21"/>
              </w:rPr>
              <w:t>年。保修期期内非因采购人的人为原因而出现产品质量及安装问题，由中标人负责包修、包换或包退，并承担因此而产生的一切费用。</w:t>
            </w:r>
          </w:p>
          <w:p w14:paraId="38B3912D">
            <w:pPr>
              <w:snapToGrid w:val="0"/>
              <w:spacing w:line="360" w:lineRule="auto"/>
              <w:rPr>
                <w:sz w:val="21"/>
                <w:szCs w:val="21"/>
              </w:rPr>
            </w:pPr>
            <w:r>
              <w:rPr>
                <w:sz w:val="21"/>
                <w:szCs w:val="21"/>
              </w:rPr>
              <w:t>3.3因设备的质量问题而发生争议，由广东省或广州市质检部门进行质量鉴定。设备符合质量标准的，鉴定费用由采购人承担，设备不符合质量标准的鉴定费用由中标人承担。</w:t>
            </w:r>
          </w:p>
          <w:p w14:paraId="0EF47965">
            <w:pPr>
              <w:snapToGrid w:val="0"/>
              <w:spacing w:line="360" w:lineRule="auto"/>
              <w:rPr>
                <w:sz w:val="21"/>
                <w:szCs w:val="21"/>
              </w:rPr>
            </w:pPr>
            <w:r>
              <w:rPr>
                <w:sz w:val="21"/>
                <w:szCs w:val="21"/>
              </w:rPr>
              <w:t>3.4中标人无偿培训采购人维修人员，主要内容为设备的基本结构、性能、主要部件的构造及修理，日常使用保养与管理，常见故障的排除、紧急情况的处理等，并提供相应的设备电路图，培训地点主要在设备安装现场或按采购人安排。</w:t>
            </w:r>
          </w:p>
          <w:p w14:paraId="4FA18FC6">
            <w:pPr>
              <w:snapToGrid w:val="0"/>
              <w:spacing w:line="360" w:lineRule="auto"/>
              <w:rPr>
                <w:sz w:val="21"/>
                <w:szCs w:val="21"/>
              </w:rPr>
            </w:pPr>
            <w:r>
              <w:rPr>
                <w:sz w:val="21"/>
                <w:szCs w:val="21"/>
              </w:rPr>
              <w:t>3.5提供终身维修服务，并了解使用情况，听取反馈意见。保修期外，如需更换配件只收取配件费用，且配件价格需低于市场价。</w:t>
            </w:r>
          </w:p>
          <w:p w14:paraId="43FF8AC9">
            <w:pPr>
              <w:snapToGrid w:val="0"/>
              <w:spacing w:line="360" w:lineRule="auto"/>
              <w:rPr>
                <w:sz w:val="21"/>
                <w:szCs w:val="21"/>
              </w:rPr>
            </w:pPr>
            <w:r>
              <w:rPr>
                <w:sz w:val="21"/>
                <w:szCs w:val="21"/>
              </w:rPr>
              <w:t>3.6技术服务：中标人应派员到采购人指定地点配合工作，按采购人提供的合同执行进度计划，再配合采购人及有关单位，以此做好合同执行进度上的配合工作。</w:t>
            </w:r>
          </w:p>
          <w:p w14:paraId="4EB01D8B">
            <w:pPr>
              <w:snapToGrid w:val="0"/>
              <w:spacing w:line="360" w:lineRule="auto"/>
              <w:rPr>
                <w:sz w:val="21"/>
                <w:szCs w:val="21"/>
              </w:rPr>
            </w:pPr>
            <w:r>
              <w:rPr>
                <w:sz w:val="21"/>
                <w:szCs w:val="21"/>
              </w:rPr>
              <w:t>4、投标人保证所提供设备是全新产品、未曾使用过的、表面无划损、破损、无任何缺陷及隐患，必须具备出厂合格证，且进货渠道合法。投标人须保证合同项下提供的设备不侵犯第三方的任何权利，无任何设计、安全使用的缺陷隐患，可在中国境内依常规安全合法使用，采购人因使用投标人提供的设备构成侵权的，由投标人承担全部法律责任。</w:t>
            </w:r>
          </w:p>
          <w:p w14:paraId="44B01666">
            <w:pPr>
              <w:pStyle w:val="3"/>
              <w:snapToGrid w:val="0"/>
              <w:spacing w:before="0" w:line="360" w:lineRule="auto"/>
              <w:rPr>
                <w:rFonts w:ascii="宋体" w:hAnsi="宋体"/>
                <w:sz w:val="21"/>
                <w:szCs w:val="21"/>
              </w:rPr>
            </w:pPr>
            <w:r>
              <w:rPr>
                <w:rFonts w:hint="eastAsia" w:ascii="宋体" w:hAnsi="宋体"/>
                <w:sz w:val="21"/>
                <w:szCs w:val="21"/>
              </w:rPr>
              <w:t>5、服务响应时间要求：</w:t>
            </w:r>
            <w:r>
              <w:rPr>
                <w:rFonts w:ascii="宋体" w:hAnsi="宋体"/>
                <w:sz w:val="21"/>
                <w:szCs w:val="21"/>
              </w:rPr>
              <w:t>中标人在收到采购人通知4小时内到达现场进行维修，24小时内排除故障</w:t>
            </w:r>
            <w:r>
              <w:rPr>
                <w:rFonts w:hint="eastAsia" w:ascii="宋体" w:hAnsi="宋体"/>
                <w:sz w:val="21"/>
                <w:szCs w:val="21"/>
              </w:rPr>
              <w:t>。</w:t>
            </w:r>
          </w:p>
          <w:p w14:paraId="0BB87C10">
            <w:pPr>
              <w:snapToGrid w:val="0"/>
              <w:spacing w:line="360" w:lineRule="auto"/>
              <w:rPr>
                <w:rFonts w:hint="eastAsia"/>
              </w:rPr>
            </w:pPr>
            <w:r>
              <w:rPr>
                <w:rFonts w:hint="eastAsia"/>
                <w:sz w:val="21"/>
                <w:szCs w:val="21"/>
              </w:rPr>
              <w:t>6、售后服务要求：中标人拟投入的</w:t>
            </w:r>
            <w:r>
              <w:rPr>
                <w:sz w:val="21"/>
                <w:szCs w:val="21"/>
              </w:rPr>
              <w:t>售后服务团队成员</w:t>
            </w:r>
            <w:r>
              <w:rPr>
                <w:rFonts w:hint="eastAsia"/>
                <w:sz w:val="21"/>
                <w:szCs w:val="21"/>
              </w:rPr>
              <w:t>应不少于</w:t>
            </w:r>
            <w:r>
              <w:rPr>
                <w:sz w:val="21"/>
                <w:szCs w:val="21"/>
              </w:rPr>
              <w:t>3名</w:t>
            </w:r>
            <w:r>
              <w:rPr>
                <w:rFonts w:hint="eastAsia"/>
                <w:sz w:val="21"/>
                <w:szCs w:val="21"/>
              </w:rPr>
              <w:t>。</w:t>
            </w:r>
          </w:p>
        </w:tc>
      </w:tr>
    </w:tbl>
    <w:p w14:paraId="2975D753">
      <w:pPr>
        <w:spacing w:line="360" w:lineRule="auto"/>
        <w:rPr>
          <w:rFonts w:hint="eastAsia"/>
          <w:b/>
          <w:bCs/>
          <w:spacing w:val="-1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0066790"/>
    </w:sdtPr>
    <w:sdtContent>
      <w:p w14:paraId="36F34E62">
        <w:pPr>
          <w:pStyle w:val="6"/>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0DEEE38D">
    <w:pPr>
      <w:pStyle w:val="6"/>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A744BA"/>
    <w:multiLevelType w:val="singleLevel"/>
    <w:tmpl w:val="E1A744BA"/>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mODZiODVhMDQzNGFmOGExNzkxODYyNjc1ZTgyODAifQ=="/>
  </w:docVars>
  <w:rsids>
    <w:rsidRoot w:val="00000000"/>
    <w:rsid w:val="59581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zh-CN" w:bidi="ar-SA"/>
    </w:rPr>
  </w:style>
  <w:style w:type="paragraph" w:styleId="2">
    <w:name w:val="heading 2"/>
    <w:basedOn w:val="1"/>
    <w:next w:val="1"/>
    <w:link w:val="12"/>
    <w:qFormat/>
    <w:uiPriority w:val="1"/>
    <w:pPr>
      <w:spacing w:before="48"/>
      <w:ind w:left="3125" w:right="3192"/>
      <w:jc w:val="center"/>
      <w:outlineLvl w:val="1"/>
    </w:pPr>
    <w:rPr>
      <w:b/>
      <w:bCs/>
      <w:sz w:val="21"/>
      <w:szCs w:val="21"/>
    </w:rPr>
  </w:style>
  <w:style w:type="character" w:default="1" w:styleId="10">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styleId="3">
    <w:name w:val="toa heading"/>
    <w:basedOn w:val="1"/>
    <w:next w:val="1"/>
    <w:unhideWhenUsed/>
    <w:qFormat/>
    <w:uiPriority w:val="99"/>
    <w:pPr>
      <w:adjustRightInd w:val="0"/>
      <w:spacing w:before="120"/>
    </w:pPr>
    <w:rPr>
      <w:rFonts w:ascii="Arial" w:hAnsi="Arial" w:cs="Times New Roman"/>
      <w:sz w:val="24"/>
      <w:szCs w:val="24"/>
    </w:rPr>
  </w:style>
  <w:style w:type="paragraph" w:styleId="4">
    <w:name w:val="annotation text"/>
    <w:basedOn w:val="1"/>
    <w:link w:val="16"/>
    <w:qFormat/>
    <w:uiPriority w:val="99"/>
    <w:pPr>
      <w:autoSpaceDE/>
      <w:autoSpaceDN/>
    </w:pPr>
    <w:rPr>
      <w:rFonts w:asciiTheme="minorHAnsi" w:hAnsiTheme="minorHAnsi" w:eastAsiaTheme="minorEastAsia" w:cstheme="minorBidi"/>
      <w:kern w:val="2"/>
      <w:sz w:val="21"/>
      <w:szCs w:val="24"/>
    </w:rPr>
  </w:style>
  <w:style w:type="paragraph" w:styleId="5">
    <w:name w:val="Body Text"/>
    <w:basedOn w:val="1"/>
    <w:link w:val="13"/>
    <w:qFormat/>
    <w:uiPriority w:val="1"/>
    <w:rPr>
      <w:sz w:val="19"/>
      <w:szCs w:val="19"/>
    </w:rPr>
  </w:style>
  <w:style w:type="paragraph" w:styleId="6">
    <w:name w:val="footer"/>
    <w:basedOn w:val="1"/>
    <w:link w:val="15"/>
    <w:unhideWhenUsed/>
    <w:uiPriority w:val="99"/>
    <w:pPr>
      <w:tabs>
        <w:tab w:val="center" w:pos="4153"/>
        <w:tab w:val="right" w:pos="8306"/>
      </w:tabs>
      <w:snapToGrid w:val="0"/>
    </w:pPr>
    <w:rPr>
      <w:sz w:val="18"/>
      <w:szCs w:val="18"/>
    </w:rPr>
  </w:style>
  <w:style w:type="paragraph" w:styleId="7">
    <w:name w:val="header"/>
    <w:basedOn w:val="1"/>
    <w:link w:val="14"/>
    <w:unhideWhenUsed/>
    <w:uiPriority w:val="99"/>
    <w:pPr>
      <w:tabs>
        <w:tab w:val="center" w:pos="4153"/>
        <w:tab w:val="right" w:pos="8306"/>
      </w:tabs>
      <w:snapToGrid w:val="0"/>
      <w:jc w:val="center"/>
    </w:pPr>
    <w:rPr>
      <w:sz w:val="18"/>
      <w:szCs w:val="18"/>
    </w:rPr>
  </w:style>
  <w:style w:type="table" w:styleId="9">
    <w:name w:val="Table Grid"/>
    <w:basedOn w:val="8"/>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qFormat/>
    <w:uiPriority w:val="99"/>
    <w:rPr>
      <w:sz w:val="21"/>
    </w:rPr>
  </w:style>
  <w:style w:type="character" w:customStyle="1" w:styleId="12">
    <w:name w:val="标题 2 字符"/>
    <w:basedOn w:val="10"/>
    <w:link w:val="2"/>
    <w:uiPriority w:val="1"/>
    <w:rPr>
      <w:rFonts w:ascii="宋体" w:hAnsi="宋体" w:eastAsia="宋体" w:cs="宋体"/>
      <w:b/>
      <w:bCs/>
      <w:kern w:val="0"/>
      <w:szCs w:val="21"/>
    </w:rPr>
  </w:style>
  <w:style w:type="character" w:customStyle="1" w:styleId="13">
    <w:name w:val="正文文本 字符"/>
    <w:basedOn w:val="10"/>
    <w:link w:val="5"/>
    <w:qFormat/>
    <w:uiPriority w:val="1"/>
    <w:rPr>
      <w:rFonts w:ascii="宋体" w:hAnsi="宋体" w:eastAsia="宋体" w:cs="宋体"/>
      <w:kern w:val="0"/>
      <w:sz w:val="19"/>
      <w:szCs w:val="19"/>
    </w:rPr>
  </w:style>
  <w:style w:type="character" w:customStyle="1" w:styleId="14">
    <w:name w:val="页眉 字符"/>
    <w:basedOn w:val="10"/>
    <w:link w:val="7"/>
    <w:uiPriority w:val="99"/>
    <w:rPr>
      <w:rFonts w:ascii="宋体" w:hAnsi="宋体" w:eastAsia="宋体" w:cs="宋体"/>
      <w:kern w:val="0"/>
      <w:sz w:val="18"/>
      <w:szCs w:val="18"/>
    </w:rPr>
  </w:style>
  <w:style w:type="character" w:customStyle="1" w:styleId="15">
    <w:name w:val="页脚 字符"/>
    <w:basedOn w:val="10"/>
    <w:link w:val="6"/>
    <w:uiPriority w:val="99"/>
    <w:rPr>
      <w:rFonts w:ascii="宋体" w:hAnsi="宋体" w:eastAsia="宋体" w:cs="宋体"/>
      <w:kern w:val="0"/>
      <w:sz w:val="18"/>
      <w:szCs w:val="18"/>
    </w:rPr>
  </w:style>
  <w:style w:type="character" w:customStyle="1" w:styleId="16">
    <w:name w:val="批注文字 字符"/>
    <w:basedOn w:val="10"/>
    <w:link w:val="4"/>
    <w:qFormat/>
    <w:uiPriority w:val="99"/>
    <w:rPr>
      <w:szCs w:val="24"/>
    </w:rPr>
  </w:style>
  <w:style w:type="paragraph" w:customStyle="1" w:styleId="17">
    <w:name w:val="List Paragraph"/>
    <w:basedOn w:val="1"/>
    <w:link w:val="18"/>
    <w:qFormat/>
    <w:uiPriority w:val="34"/>
    <w:pPr>
      <w:ind w:firstLine="420" w:firstLineChars="200"/>
    </w:pPr>
  </w:style>
  <w:style w:type="character" w:customStyle="1" w:styleId="18">
    <w:name w:val="列表段落 字符"/>
    <w:link w:val="17"/>
    <w:qFormat/>
    <w:uiPriority w:val="34"/>
    <w:rPr>
      <w:rFonts w:ascii="宋体" w:hAnsi="宋体" w:eastAsia="宋体" w:cs="宋体"/>
      <w:kern w:val="0"/>
      <w:sz w:val="22"/>
    </w:rPr>
  </w:style>
  <w:style w:type="paragraph" w:customStyle="1" w:styleId="19">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20">
    <w:name w:val="批注文字 字符1"/>
    <w:qFormat/>
    <w:locked/>
    <w:uiPriority w:val="99"/>
    <w:rPr>
      <w:sz w:val="24"/>
    </w:rPr>
  </w:style>
  <w:style w:type="paragraph" w:customStyle="1" w:styleId="21">
    <w:name w:val="null3"/>
    <w:uiPriority w:val="0"/>
    <w:rPr>
      <w:rFonts w:hint="eastAsia" w:ascii="Calibri" w:hAnsi="Calibri" w:eastAsia="宋体" w:cs="Times New Roman"/>
      <w:kern w:val="0"/>
      <w:sz w:val="20"/>
      <w:szCs w:val="20"/>
      <w:lang w:val="en-US" w:eastAsia="zh-Hans" w:bidi="ar-SA"/>
    </w:rPr>
  </w:style>
  <w:style w:type="paragraph" w:customStyle="1" w:styleId="22">
    <w:name w:val="_Style 2"/>
    <w:basedOn w:val="1"/>
    <w:qFormat/>
    <w:uiPriority w:val="34"/>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3106</Words>
  <Characters>3246</Characters>
  <Lines>24</Lines>
  <Paragraphs>6</Paragraphs>
  <TotalTime>0</TotalTime>
  <ScaleCrop>false</ScaleCrop>
  <LinksUpToDate>false</LinksUpToDate>
  <CharactersWithSpaces>3256</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2022-07-12T10:39:00Z</dcterms:created>
  <dc:creator>liu</dc:creator>
  <cp:lastModifiedBy>广东永连招标公司-谭月平</cp:lastModifiedBy>
  <dcterms:modified xsi:type="dcterms:W3CDTF">2024-09-06T03:42:17Z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31426E29C3CA3C02E66DDA66C4016418_31</vt:lpwstr>
  </property>
  <property fmtid="{D5CDD505-2E9C-101B-9397-08002B2CF9AE}" pid="3" name="KSOProductBuildVer">
    <vt:lpwstr>2052-12.1.0.18196</vt:lpwstr>
  </property>
</Properties>
</file>