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5E9B2">
      <w:pPr>
        <w:pStyle w:val="2"/>
        <w:jc w:val="center"/>
        <w:rPr>
          <w:rFonts w:ascii="宋体" w:hAnsi="宋体" w:cs="宋体"/>
          <w:sz w:val="38"/>
          <w:szCs w:val="38"/>
        </w:rPr>
      </w:pPr>
      <w:r>
        <w:rPr>
          <w:rFonts w:hint="eastAsia" w:ascii="宋体" w:hAnsi="宋体" w:cs="宋体"/>
          <w:sz w:val="38"/>
          <w:szCs w:val="38"/>
        </w:rPr>
        <w:t>2024年网络安全自动化渗透系统维保采购项目</w:t>
      </w:r>
    </w:p>
    <w:p w14:paraId="50A34B32">
      <w:pPr>
        <w:pStyle w:val="2"/>
        <w:jc w:val="center"/>
        <w:rPr>
          <w:rFonts w:ascii="宋体" w:hAnsi="宋体" w:cs="宋体"/>
          <w:sz w:val="38"/>
          <w:szCs w:val="38"/>
        </w:rPr>
      </w:pPr>
      <w:r>
        <w:rPr>
          <w:rFonts w:hint="eastAsia" w:ascii="宋体" w:hAnsi="宋体" w:cs="宋体"/>
          <w:sz w:val="38"/>
          <w:szCs w:val="38"/>
        </w:rPr>
        <w:t>采购需求</w:t>
      </w:r>
    </w:p>
    <w:p w14:paraId="2388AEFB">
      <w:pPr>
        <w:widowControl/>
        <w:spacing w:line="360" w:lineRule="auto"/>
        <w:ind w:firstLine="422" w:firstLineChars="200"/>
        <w:jc w:val="left"/>
        <w:rPr>
          <w:rFonts w:ascii="宋体" w:hAnsi="宋体" w:cs="宋体"/>
          <w:b/>
          <w:bCs/>
          <w:szCs w:val="21"/>
        </w:rPr>
      </w:pPr>
      <w:r>
        <w:rPr>
          <w:rFonts w:hint="eastAsia" w:ascii="宋体" w:hAnsi="宋体" w:cs="宋体"/>
          <w:b/>
          <w:bCs/>
          <w:szCs w:val="21"/>
        </w:rPr>
        <w:t>一、采购方案</w:t>
      </w:r>
    </w:p>
    <w:tbl>
      <w:tblPr>
        <w:tblStyle w:val="11"/>
        <w:tblW w:w="802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16"/>
        <w:gridCol w:w="1964"/>
        <w:gridCol w:w="890"/>
        <w:gridCol w:w="987"/>
        <w:gridCol w:w="2819"/>
        <w:gridCol w:w="752"/>
      </w:tblGrid>
      <w:tr w14:paraId="51180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41" w:hRule="atLeast"/>
          <w:jc w:val="center"/>
        </w:trPr>
        <w:tc>
          <w:tcPr>
            <w:tcW w:w="616" w:type="dxa"/>
            <w:vAlign w:val="center"/>
          </w:tcPr>
          <w:p w14:paraId="0C9E4189">
            <w:pPr>
              <w:jc w:val="center"/>
              <w:rPr>
                <w:rFonts w:hint="eastAsia" w:ascii="宋体" w:hAnsi="宋体" w:cs="宋体"/>
                <w:sz w:val="21"/>
                <w:szCs w:val="21"/>
              </w:rPr>
            </w:pPr>
            <w:r>
              <w:rPr>
                <w:rFonts w:hint="eastAsia" w:ascii="宋体" w:hAnsi="宋体" w:cs="宋体"/>
                <w:sz w:val="21"/>
                <w:szCs w:val="21"/>
              </w:rPr>
              <w:t>序号</w:t>
            </w:r>
          </w:p>
        </w:tc>
        <w:tc>
          <w:tcPr>
            <w:tcW w:w="1964" w:type="dxa"/>
            <w:vAlign w:val="center"/>
          </w:tcPr>
          <w:p w14:paraId="506EFDD7">
            <w:pPr>
              <w:jc w:val="center"/>
              <w:rPr>
                <w:rFonts w:hint="eastAsia" w:ascii="宋体" w:hAnsi="宋体" w:cs="宋体"/>
                <w:sz w:val="21"/>
                <w:szCs w:val="21"/>
              </w:rPr>
            </w:pPr>
            <w:r>
              <w:rPr>
                <w:rFonts w:hint="eastAsia" w:ascii="宋体" w:hAnsi="宋体" w:cs="宋体"/>
                <w:sz w:val="21"/>
                <w:szCs w:val="21"/>
              </w:rPr>
              <w:t>服务名称</w:t>
            </w:r>
          </w:p>
        </w:tc>
        <w:tc>
          <w:tcPr>
            <w:tcW w:w="890" w:type="dxa"/>
            <w:vAlign w:val="center"/>
          </w:tcPr>
          <w:p w14:paraId="2C09F945">
            <w:pPr>
              <w:jc w:val="center"/>
              <w:rPr>
                <w:rFonts w:hint="eastAsia" w:ascii="宋体" w:hAnsi="宋体" w:cs="宋体"/>
                <w:sz w:val="21"/>
                <w:szCs w:val="21"/>
              </w:rPr>
            </w:pPr>
            <w:r>
              <w:rPr>
                <w:rFonts w:hint="eastAsia" w:ascii="宋体" w:hAnsi="宋体" w:cs="宋体"/>
                <w:sz w:val="21"/>
                <w:szCs w:val="21"/>
              </w:rPr>
              <w:t>服务要求</w:t>
            </w:r>
          </w:p>
        </w:tc>
        <w:tc>
          <w:tcPr>
            <w:tcW w:w="987" w:type="dxa"/>
            <w:vAlign w:val="center"/>
          </w:tcPr>
          <w:p w14:paraId="755327BB">
            <w:pPr>
              <w:jc w:val="center"/>
              <w:rPr>
                <w:rFonts w:hint="eastAsia" w:ascii="宋体" w:hAnsi="宋体" w:cs="宋体"/>
                <w:sz w:val="21"/>
                <w:szCs w:val="21"/>
              </w:rPr>
            </w:pPr>
            <w:r>
              <w:rPr>
                <w:rFonts w:hint="eastAsia" w:ascii="宋体" w:hAnsi="宋体" w:cs="宋体"/>
                <w:sz w:val="21"/>
                <w:szCs w:val="21"/>
              </w:rPr>
              <w:t>服务期限</w:t>
            </w:r>
          </w:p>
        </w:tc>
        <w:tc>
          <w:tcPr>
            <w:tcW w:w="2819" w:type="dxa"/>
            <w:vAlign w:val="center"/>
          </w:tcPr>
          <w:p w14:paraId="1FD3CEA4">
            <w:pPr>
              <w:jc w:val="center"/>
              <w:rPr>
                <w:rFonts w:hint="eastAsia" w:ascii="宋体" w:hAnsi="宋体" w:cs="宋体"/>
                <w:sz w:val="21"/>
                <w:szCs w:val="21"/>
              </w:rPr>
            </w:pPr>
            <w:r>
              <w:rPr>
                <w:rFonts w:hint="eastAsia" w:ascii="宋体" w:hAnsi="宋体" w:cs="宋体"/>
                <w:sz w:val="21"/>
                <w:szCs w:val="21"/>
              </w:rPr>
              <w:t>服务标准</w:t>
            </w:r>
          </w:p>
        </w:tc>
        <w:tc>
          <w:tcPr>
            <w:tcW w:w="752" w:type="dxa"/>
            <w:vAlign w:val="center"/>
          </w:tcPr>
          <w:p w14:paraId="0C925AAC">
            <w:pPr>
              <w:jc w:val="center"/>
              <w:rPr>
                <w:rFonts w:hint="eastAsia" w:ascii="宋体" w:hAnsi="宋体" w:cs="宋体"/>
                <w:sz w:val="21"/>
                <w:szCs w:val="21"/>
              </w:rPr>
            </w:pPr>
            <w:r>
              <w:rPr>
                <w:rFonts w:hint="eastAsia" w:ascii="宋体" w:hAnsi="宋体" w:cs="宋体"/>
                <w:sz w:val="21"/>
                <w:szCs w:val="21"/>
              </w:rPr>
              <w:t>数量</w:t>
            </w:r>
          </w:p>
        </w:tc>
      </w:tr>
      <w:tr w14:paraId="09485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63" w:hRule="atLeast"/>
          <w:jc w:val="center"/>
        </w:trPr>
        <w:tc>
          <w:tcPr>
            <w:tcW w:w="616" w:type="dxa"/>
            <w:vAlign w:val="center"/>
          </w:tcPr>
          <w:p w14:paraId="712D383C">
            <w:pPr>
              <w:jc w:val="center"/>
              <w:rPr>
                <w:rFonts w:hint="eastAsia" w:ascii="宋体" w:hAnsi="宋体" w:cs="宋体"/>
                <w:sz w:val="21"/>
                <w:szCs w:val="21"/>
              </w:rPr>
            </w:pPr>
            <w:r>
              <w:rPr>
                <w:rFonts w:hint="eastAsia" w:ascii="宋体" w:hAnsi="宋体" w:cs="宋体"/>
                <w:sz w:val="21"/>
                <w:szCs w:val="21"/>
              </w:rPr>
              <w:t>1</w:t>
            </w:r>
          </w:p>
        </w:tc>
        <w:tc>
          <w:tcPr>
            <w:tcW w:w="1964" w:type="dxa"/>
            <w:vAlign w:val="center"/>
          </w:tcPr>
          <w:p w14:paraId="468D79F6">
            <w:pPr>
              <w:widowControl/>
              <w:jc w:val="center"/>
              <w:rPr>
                <w:rFonts w:hint="eastAsia" w:ascii="宋体" w:hAnsi="宋体" w:cs="宋体"/>
                <w:color w:val="000000"/>
                <w:kern w:val="0"/>
                <w:sz w:val="21"/>
                <w:szCs w:val="21"/>
              </w:rPr>
            </w:pPr>
            <w:r>
              <w:rPr>
                <w:rFonts w:hint="eastAsia" w:ascii="宋体" w:hAnsi="宋体"/>
                <w:sz w:val="21"/>
                <w:szCs w:val="21"/>
              </w:rPr>
              <w:t>奇安信网神自动化渗透系统</w:t>
            </w:r>
            <w:r>
              <w:rPr>
                <w:rFonts w:hint="eastAsia" w:ascii="宋体" w:hAnsi="宋体" w:cs="宋体"/>
                <w:kern w:val="0"/>
                <w:sz w:val="21"/>
                <w:szCs w:val="21"/>
              </w:rPr>
              <w:t>TSS10000-PT-9600</w:t>
            </w:r>
            <w:r>
              <w:rPr>
                <w:rFonts w:hint="eastAsia" w:ascii="宋体" w:hAnsi="宋体"/>
                <w:sz w:val="21"/>
                <w:szCs w:val="21"/>
              </w:rPr>
              <w:t>规则升级授权</w:t>
            </w:r>
          </w:p>
        </w:tc>
        <w:tc>
          <w:tcPr>
            <w:tcW w:w="890" w:type="dxa"/>
            <w:vAlign w:val="center"/>
          </w:tcPr>
          <w:p w14:paraId="0FB174A0">
            <w:pPr>
              <w:jc w:val="center"/>
              <w:rPr>
                <w:rFonts w:hint="eastAsia" w:ascii="宋体" w:hAnsi="宋体" w:cs="宋体"/>
                <w:sz w:val="21"/>
                <w:szCs w:val="21"/>
              </w:rPr>
            </w:pPr>
            <w:r>
              <w:rPr>
                <w:rFonts w:hint="eastAsia" w:ascii="宋体" w:hAnsi="宋体" w:cs="宋体"/>
                <w:sz w:val="21"/>
                <w:szCs w:val="21"/>
              </w:rPr>
              <w:t>维保等级为7*24H响应服务</w:t>
            </w:r>
          </w:p>
        </w:tc>
        <w:tc>
          <w:tcPr>
            <w:tcW w:w="987" w:type="dxa"/>
            <w:vAlign w:val="center"/>
          </w:tcPr>
          <w:p w14:paraId="49BD0C9E">
            <w:pPr>
              <w:jc w:val="center"/>
              <w:rPr>
                <w:rFonts w:hint="eastAsia" w:ascii="宋体" w:hAnsi="宋体" w:cs="宋体"/>
                <w:sz w:val="21"/>
                <w:szCs w:val="21"/>
              </w:rPr>
            </w:pPr>
            <w:r>
              <w:rPr>
                <w:rFonts w:hint="eastAsia" w:ascii="宋体" w:hAnsi="宋体" w:cs="宋体"/>
                <w:sz w:val="21"/>
                <w:szCs w:val="21"/>
                <w:lang w:eastAsia="zh-Hans"/>
              </w:rPr>
              <w:t>从签订合同日期起续保三年</w:t>
            </w:r>
          </w:p>
        </w:tc>
        <w:tc>
          <w:tcPr>
            <w:tcW w:w="2819" w:type="dxa"/>
            <w:vAlign w:val="center"/>
          </w:tcPr>
          <w:p w14:paraId="2D06BF87">
            <w:pPr>
              <w:jc w:val="center"/>
              <w:rPr>
                <w:rFonts w:hint="eastAsia" w:ascii="宋体" w:hAnsi="宋体" w:cs="宋体"/>
                <w:sz w:val="21"/>
                <w:szCs w:val="21"/>
              </w:rPr>
            </w:pPr>
            <w:r>
              <w:rPr>
                <w:rFonts w:hint="eastAsia" w:ascii="宋体" w:hAnsi="宋体" w:cs="宋体"/>
                <w:sz w:val="21"/>
                <w:szCs w:val="21"/>
              </w:rPr>
              <w:t>包括但不限于</w:t>
            </w:r>
            <w:r>
              <w:rPr>
                <w:rFonts w:hint="eastAsia" w:ascii="宋体" w:hAnsi="宋体" w:cs="宋体"/>
                <w:kern w:val="0"/>
                <w:sz w:val="21"/>
                <w:szCs w:val="21"/>
              </w:rPr>
              <w:t>系统软件，TSS10000-PT-9600产品规则升级，含渗透测试项目管理、插件管理、指纹管理、资源管理、系统管理等功能。</w:t>
            </w:r>
          </w:p>
        </w:tc>
        <w:tc>
          <w:tcPr>
            <w:tcW w:w="752" w:type="dxa"/>
            <w:vAlign w:val="center"/>
          </w:tcPr>
          <w:p w14:paraId="0837684B">
            <w:pPr>
              <w:jc w:val="center"/>
              <w:rPr>
                <w:rFonts w:hint="eastAsia" w:ascii="宋体" w:hAnsi="宋体" w:cs="宋体"/>
                <w:sz w:val="21"/>
                <w:szCs w:val="21"/>
              </w:rPr>
            </w:pPr>
            <w:r>
              <w:rPr>
                <w:rFonts w:hint="eastAsia" w:ascii="宋体" w:hAnsi="宋体" w:cs="宋体"/>
                <w:sz w:val="21"/>
                <w:szCs w:val="21"/>
              </w:rPr>
              <w:t>1套</w:t>
            </w:r>
          </w:p>
        </w:tc>
      </w:tr>
      <w:tr w14:paraId="63ECB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63" w:hRule="atLeast"/>
          <w:jc w:val="center"/>
        </w:trPr>
        <w:tc>
          <w:tcPr>
            <w:tcW w:w="616" w:type="dxa"/>
            <w:vAlign w:val="center"/>
          </w:tcPr>
          <w:p w14:paraId="3D943E9B">
            <w:pPr>
              <w:jc w:val="center"/>
              <w:rPr>
                <w:rFonts w:hint="eastAsia" w:ascii="宋体" w:hAnsi="宋体" w:cs="宋体"/>
                <w:sz w:val="21"/>
                <w:szCs w:val="21"/>
              </w:rPr>
            </w:pPr>
            <w:r>
              <w:rPr>
                <w:rFonts w:hint="eastAsia" w:ascii="宋体" w:hAnsi="宋体" w:cs="宋体"/>
                <w:sz w:val="21"/>
                <w:szCs w:val="21"/>
              </w:rPr>
              <w:t>2</w:t>
            </w:r>
          </w:p>
        </w:tc>
        <w:tc>
          <w:tcPr>
            <w:tcW w:w="1964" w:type="dxa"/>
            <w:vAlign w:val="center"/>
          </w:tcPr>
          <w:p w14:paraId="06DAF9F1">
            <w:pPr>
              <w:widowControl/>
              <w:jc w:val="center"/>
              <w:rPr>
                <w:rFonts w:hint="eastAsia" w:ascii="宋体" w:hAnsi="宋体" w:cs="宋体"/>
                <w:color w:val="000000"/>
                <w:kern w:val="0"/>
                <w:sz w:val="21"/>
                <w:szCs w:val="21"/>
              </w:rPr>
            </w:pPr>
            <w:r>
              <w:rPr>
                <w:rFonts w:hint="eastAsia" w:ascii="宋体" w:hAnsi="宋体"/>
                <w:sz w:val="21"/>
                <w:szCs w:val="21"/>
              </w:rPr>
              <w:t>奇安信网神自动化渗透系统</w:t>
            </w:r>
            <w:r>
              <w:rPr>
                <w:rFonts w:hint="eastAsia" w:ascii="宋体" w:hAnsi="宋体" w:cs="宋体"/>
                <w:kern w:val="0"/>
                <w:sz w:val="21"/>
                <w:szCs w:val="21"/>
              </w:rPr>
              <w:t>TSS10000-PT-9600</w:t>
            </w:r>
            <w:r>
              <w:rPr>
                <w:rFonts w:hint="eastAsia" w:ascii="宋体" w:hAnsi="宋体"/>
                <w:sz w:val="21"/>
                <w:szCs w:val="21"/>
              </w:rPr>
              <w:t>产品维保</w:t>
            </w:r>
          </w:p>
        </w:tc>
        <w:tc>
          <w:tcPr>
            <w:tcW w:w="890" w:type="dxa"/>
            <w:vAlign w:val="center"/>
          </w:tcPr>
          <w:p w14:paraId="2EBB46B4">
            <w:pPr>
              <w:jc w:val="center"/>
              <w:rPr>
                <w:rFonts w:hint="eastAsia" w:ascii="宋体" w:hAnsi="宋体" w:cs="宋体"/>
                <w:sz w:val="21"/>
                <w:szCs w:val="21"/>
              </w:rPr>
            </w:pPr>
            <w:r>
              <w:rPr>
                <w:rFonts w:hint="eastAsia" w:ascii="宋体" w:hAnsi="宋体" w:cs="宋体"/>
                <w:sz w:val="21"/>
                <w:szCs w:val="21"/>
              </w:rPr>
              <w:t>维保等级为7*24H响应服务</w:t>
            </w:r>
          </w:p>
        </w:tc>
        <w:tc>
          <w:tcPr>
            <w:tcW w:w="987" w:type="dxa"/>
            <w:vAlign w:val="center"/>
          </w:tcPr>
          <w:p w14:paraId="29FE0911">
            <w:pPr>
              <w:jc w:val="center"/>
              <w:rPr>
                <w:rFonts w:hint="eastAsia" w:ascii="宋体" w:hAnsi="宋体" w:cs="宋体"/>
                <w:sz w:val="21"/>
                <w:szCs w:val="21"/>
              </w:rPr>
            </w:pPr>
            <w:r>
              <w:rPr>
                <w:rFonts w:hint="eastAsia" w:ascii="宋体" w:hAnsi="宋体" w:cs="宋体"/>
                <w:sz w:val="21"/>
                <w:szCs w:val="21"/>
                <w:lang w:eastAsia="zh-Hans"/>
              </w:rPr>
              <w:t>从签订合同日期起续保三年</w:t>
            </w:r>
          </w:p>
        </w:tc>
        <w:tc>
          <w:tcPr>
            <w:tcW w:w="2819" w:type="dxa"/>
            <w:vAlign w:val="center"/>
          </w:tcPr>
          <w:p w14:paraId="7B79A89F">
            <w:pPr>
              <w:jc w:val="center"/>
              <w:rPr>
                <w:rFonts w:hint="eastAsia" w:ascii="宋体" w:hAnsi="宋体" w:cs="宋体"/>
                <w:sz w:val="21"/>
                <w:szCs w:val="21"/>
              </w:rPr>
            </w:pPr>
            <w:r>
              <w:rPr>
                <w:rFonts w:hint="eastAsia" w:ascii="宋体" w:hAnsi="宋体" w:cs="宋体"/>
                <w:sz w:val="21"/>
                <w:szCs w:val="21"/>
              </w:rPr>
              <w:t>包括但不限于</w:t>
            </w:r>
            <w:r>
              <w:rPr>
                <w:rFonts w:hint="eastAsia" w:ascii="宋体" w:hAnsi="宋体" w:cs="宋体"/>
                <w:kern w:val="0"/>
                <w:sz w:val="21"/>
                <w:szCs w:val="21"/>
              </w:rPr>
              <w:t>含产品硬件和系统软件维保服务：包括故障判断、报修登记、设备修复、提供升级版本的服务</w:t>
            </w:r>
            <w:r>
              <w:rPr>
                <w:rFonts w:hint="eastAsia" w:ascii="宋体" w:hAnsi="宋体" w:cs="宋体"/>
                <w:kern w:val="0"/>
                <w:sz w:val="21"/>
                <w:szCs w:val="21"/>
                <w:lang w:eastAsia="zh-CN"/>
              </w:rPr>
              <w:t>；</w:t>
            </w:r>
            <w:r>
              <w:rPr>
                <w:rFonts w:hint="eastAsia" w:ascii="宋体" w:hAnsi="宋体" w:cs="宋体"/>
                <w:kern w:val="0"/>
                <w:sz w:val="21"/>
                <w:szCs w:val="21"/>
              </w:rPr>
              <w:t>7×24小时电话咨询服务</w:t>
            </w:r>
            <w:r>
              <w:rPr>
                <w:rFonts w:hint="eastAsia" w:ascii="宋体" w:hAnsi="宋体" w:cs="宋体"/>
                <w:kern w:val="0"/>
                <w:sz w:val="21"/>
                <w:szCs w:val="21"/>
                <w:lang w:eastAsia="zh-CN"/>
              </w:rPr>
              <w:t>；</w:t>
            </w:r>
            <w:bookmarkStart w:id="0" w:name="_GoBack"/>
            <w:bookmarkEnd w:id="0"/>
            <w:r>
              <w:rPr>
                <w:rFonts w:hint="eastAsia" w:ascii="宋体" w:hAnsi="宋体" w:cs="宋体"/>
                <w:kern w:val="0"/>
                <w:sz w:val="21"/>
                <w:szCs w:val="21"/>
              </w:rPr>
              <w:t>5×8小时远程技术支持服务。</w:t>
            </w:r>
          </w:p>
        </w:tc>
        <w:tc>
          <w:tcPr>
            <w:tcW w:w="752" w:type="dxa"/>
            <w:vAlign w:val="center"/>
          </w:tcPr>
          <w:p w14:paraId="3FB8A42F">
            <w:pPr>
              <w:jc w:val="center"/>
              <w:rPr>
                <w:rFonts w:hint="eastAsia" w:ascii="宋体" w:hAnsi="宋体" w:cs="宋体"/>
                <w:sz w:val="21"/>
                <w:szCs w:val="21"/>
              </w:rPr>
            </w:pPr>
            <w:r>
              <w:rPr>
                <w:rFonts w:hint="eastAsia" w:ascii="宋体" w:hAnsi="宋体" w:cs="宋体"/>
                <w:sz w:val="21"/>
                <w:szCs w:val="21"/>
              </w:rPr>
              <w:t>1台</w:t>
            </w:r>
          </w:p>
        </w:tc>
      </w:tr>
      <w:tr w14:paraId="61752D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70" w:hRule="atLeast"/>
          <w:jc w:val="center"/>
        </w:trPr>
        <w:tc>
          <w:tcPr>
            <w:tcW w:w="616" w:type="dxa"/>
            <w:vAlign w:val="center"/>
          </w:tcPr>
          <w:p w14:paraId="504924DC">
            <w:pPr>
              <w:jc w:val="center"/>
              <w:rPr>
                <w:rFonts w:hint="eastAsia" w:ascii="宋体" w:hAnsi="宋体" w:cs="宋体"/>
                <w:sz w:val="21"/>
                <w:szCs w:val="21"/>
              </w:rPr>
            </w:pPr>
            <w:r>
              <w:rPr>
                <w:rFonts w:hint="eastAsia" w:ascii="宋体" w:hAnsi="宋体" w:cs="宋体"/>
                <w:sz w:val="21"/>
                <w:szCs w:val="21"/>
              </w:rPr>
              <w:t>3</w:t>
            </w:r>
          </w:p>
        </w:tc>
        <w:tc>
          <w:tcPr>
            <w:tcW w:w="1964" w:type="dxa"/>
            <w:vAlign w:val="center"/>
          </w:tcPr>
          <w:p w14:paraId="7AA17AD4">
            <w:pPr>
              <w:widowControl/>
              <w:jc w:val="center"/>
              <w:rPr>
                <w:rFonts w:hint="eastAsia" w:ascii="宋体" w:hAnsi="宋体" w:cs="宋体"/>
                <w:color w:val="000000"/>
                <w:kern w:val="0"/>
                <w:sz w:val="21"/>
                <w:szCs w:val="21"/>
              </w:rPr>
            </w:pPr>
            <w:r>
              <w:rPr>
                <w:rFonts w:hint="eastAsia" w:ascii="宋体" w:hAnsi="宋体"/>
                <w:sz w:val="21"/>
                <w:szCs w:val="21"/>
              </w:rPr>
              <w:t>奇安信网神自动化渗透系统</w:t>
            </w:r>
            <w:r>
              <w:rPr>
                <w:rFonts w:hint="eastAsia" w:ascii="宋体" w:hAnsi="宋体" w:cs="宋体"/>
                <w:kern w:val="0"/>
                <w:sz w:val="21"/>
                <w:szCs w:val="21"/>
              </w:rPr>
              <w:t>TSS10000-PT-9600</w:t>
            </w:r>
            <w:r>
              <w:rPr>
                <w:rFonts w:hint="eastAsia" w:ascii="宋体" w:hAnsi="宋体"/>
                <w:sz w:val="21"/>
                <w:szCs w:val="21"/>
              </w:rPr>
              <w:t>安全运营与巡检服务</w:t>
            </w:r>
          </w:p>
        </w:tc>
        <w:tc>
          <w:tcPr>
            <w:tcW w:w="890" w:type="dxa"/>
            <w:vAlign w:val="center"/>
          </w:tcPr>
          <w:p w14:paraId="3D98C40D">
            <w:pPr>
              <w:jc w:val="center"/>
              <w:rPr>
                <w:rFonts w:hint="eastAsia" w:ascii="宋体" w:hAnsi="宋体" w:cs="宋体"/>
                <w:sz w:val="21"/>
                <w:szCs w:val="21"/>
              </w:rPr>
            </w:pPr>
            <w:r>
              <w:rPr>
                <w:rFonts w:hint="eastAsia" w:ascii="宋体" w:hAnsi="宋体" w:cs="宋体"/>
                <w:sz w:val="21"/>
                <w:szCs w:val="21"/>
              </w:rPr>
              <w:t>维保等级为7*24H响应服务</w:t>
            </w:r>
          </w:p>
        </w:tc>
        <w:tc>
          <w:tcPr>
            <w:tcW w:w="987" w:type="dxa"/>
            <w:vAlign w:val="center"/>
          </w:tcPr>
          <w:p w14:paraId="1C62029C">
            <w:pPr>
              <w:jc w:val="center"/>
              <w:rPr>
                <w:rFonts w:hint="eastAsia" w:ascii="宋体" w:hAnsi="宋体" w:cs="宋体"/>
                <w:sz w:val="21"/>
                <w:szCs w:val="21"/>
              </w:rPr>
            </w:pPr>
            <w:r>
              <w:rPr>
                <w:rFonts w:hint="eastAsia" w:ascii="宋体" w:hAnsi="宋体" w:cs="宋体"/>
                <w:sz w:val="21"/>
                <w:szCs w:val="21"/>
                <w:lang w:eastAsia="zh-Hans"/>
              </w:rPr>
              <w:t>从签订合同日期起续保三年</w:t>
            </w:r>
          </w:p>
        </w:tc>
        <w:tc>
          <w:tcPr>
            <w:tcW w:w="2819" w:type="dxa"/>
            <w:vAlign w:val="center"/>
          </w:tcPr>
          <w:p w14:paraId="4BBC7FE0">
            <w:pPr>
              <w:jc w:val="center"/>
              <w:rPr>
                <w:rFonts w:hint="eastAsia" w:ascii="宋体" w:hAnsi="宋体" w:cs="宋体"/>
                <w:sz w:val="21"/>
                <w:szCs w:val="21"/>
              </w:rPr>
            </w:pPr>
            <w:r>
              <w:rPr>
                <w:rFonts w:hint="eastAsia" w:ascii="宋体" w:hAnsi="宋体" w:cs="宋体"/>
                <w:sz w:val="21"/>
                <w:szCs w:val="21"/>
              </w:rPr>
              <w:t>包括但不限于</w:t>
            </w:r>
            <w:r>
              <w:rPr>
                <w:rFonts w:hint="eastAsia" w:ascii="宋体" w:hAnsi="宋体" w:cs="宋体"/>
                <w:kern w:val="0"/>
                <w:sz w:val="21"/>
                <w:szCs w:val="21"/>
              </w:rPr>
              <w:t>由网络安全运营工程师提供自动化渗透系统安全运营与巡检服务，结合运营与巡检的情况，输出设备运行安全季度报告（1年4次，合计12次）。</w:t>
            </w:r>
          </w:p>
        </w:tc>
        <w:tc>
          <w:tcPr>
            <w:tcW w:w="752" w:type="dxa"/>
            <w:vAlign w:val="center"/>
          </w:tcPr>
          <w:p w14:paraId="1FB8E7A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1套</w:t>
            </w:r>
          </w:p>
        </w:tc>
      </w:tr>
    </w:tbl>
    <w:p w14:paraId="3609A45A">
      <w:pPr>
        <w:widowControl/>
        <w:spacing w:line="360" w:lineRule="auto"/>
        <w:ind w:firstLine="420" w:firstLineChars="200"/>
        <w:jc w:val="left"/>
        <w:rPr>
          <w:rFonts w:ascii="宋体" w:hAnsi="宋体" w:cs="宋体"/>
          <w:szCs w:val="21"/>
        </w:rPr>
      </w:pPr>
    </w:p>
    <w:p w14:paraId="2EC4883D">
      <w:pPr>
        <w:widowControl/>
        <w:spacing w:line="360" w:lineRule="auto"/>
        <w:ind w:firstLine="422" w:firstLineChars="200"/>
        <w:jc w:val="left"/>
        <w:rPr>
          <w:rFonts w:hint="eastAsia" w:ascii="宋体" w:hAnsi="宋体" w:cs="宋体"/>
          <w:b/>
          <w:bCs/>
          <w:szCs w:val="21"/>
        </w:rPr>
      </w:pPr>
      <w:r>
        <w:rPr>
          <w:rFonts w:hint="eastAsia" w:ascii="宋体" w:hAnsi="宋体" w:cs="宋体"/>
          <w:b/>
          <w:bCs/>
          <w:szCs w:val="21"/>
          <w:lang w:val="en-US" w:eastAsia="zh-CN"/>
        </w:rPr>
        <w:t>二</w:t>
      </w:r>
      <w:r>
        <w:rPr>
          <w:rFonts w:hint="eastAsia" w:ascii="宋体" w:hAnsi="宋体" w:cs="宋体"/>
          <w:b/>
          <w:bCs/>
          <w:szCs w:val="21"/>
        </w:rPr>
        <w:t>、维保服务等级要求</w:t>
      </w:r>
    </w:p>
    <w:p w14:paraId="195EAE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rPr>
      </w:pPr>
      <w:r>
        <w:rPr>
          <w:rFonts w:hint="eastAsia" w:ascii="宋体" w:hAnsi="宋体" w:cs="宋体"/>
          <w:b/>
          <w:bCs/>
        </w:rPr>
        <w:t>（一）维护和技术支持服务内容</w:t>
      </w:r>
    </w:p>
    <w:p w14:paraId="7BED92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1、 维护和技术支持服务内容</w:t>
      </w:r>
    </w:p>
    <w:p w14:paraId="5B9A27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维护和技术支持服务包括所投设备软、硬件相关网络故障处理服务、软件更新服务、设备健康检查服务、网络巡检服务、技术支持服务和应急保障服务等内容。</w:t>
      </w:r>
    </w:p>
    <w:p w14:paraId="50896E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提供备件服务（4小时）。</w:t>
      </w:r>
    </w:p>
    <w:p w14:paraId="014491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2、</w:t>
      </w:r>
      <w:r>
        <w:rPr>
          <w:rFonts w:hint="eastAsia" w:ascii="宋体" w:hAnsi="宋体" w:cs="宋体"/>
        </w:rPr>
        <w:tab/>
      </w:r>
      <w:r>
        <w:rPr>
          <w:rFonts w:hint="eastAsia" w:ascii="宋体" w:hAnsi="宋体" w:cs="宋体"/>
        </w:rPr>
        <w:t>服务范围</w:t>
      </w:r>
    </w:p>
    <w:p w14:paraId="398ADE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投标人对维保覆盖设备提供设备故障处理服务、软件更新服务、巡检服务、网络健康检查服务、技术支持服务和应急保障服 务等，协助招标人开展设备系统优化、业务迁移及割接等工作。</w:t>
      </w:r>
    </w:p>
    <w:p w14:paraId="38CEF5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3、 售后服务期限</w:t>
      </w:r>
    </w:p>
    <w:p w14:paraId="333FC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合同签订之日起三年</w:t>
      </w:r>
    </w:p>
    <w:p w14:paraId="33E12B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4、 人员配备</w:t>
      </w:r>
    </w:p>
    <w:p w14:paraId="24BD04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在广东省内设立办事处，负责提供维护和技术支持服务。切实保证维护人员的数量和素质，独立组成工作组专职负责技术支 持，并保持工作组的稳定性。</w:t>
      </w:r>
    </w:p>
    <w:p w14:paraId="79B263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a)</w:t>
      </w:r>
      <w:r>
        <w:rPr>
          <w:rFonts w:hint="eastAsia" w:ascii="宋体" w:hAnsi="宋体" w:cs="宋体"/>
        </w:rPr>
        <w:tab/>
      </w:r>
      <w:r>
        <w:rPr>
          <w:rFonts w:hint="eastAsia" w:ascii="宋体" w:hAnsi="宋体" w:cs="宋体"/>
        </w:rPr>
        <w:t>人员配备基本要求</w:t>
      </w:r>
    </w:p>
    <w:p w14:paraId="533DD3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专职为本项目提供各项服务，投标人在广东省办事处为本次服务项目组配备至少2名工程师（含现场工程师）。工程师资质具有2年以上相关项目和设备工程维护经验，熟悉维保覆盖设备的维护。熟悉维保覆盖设备的硬件结构和各种业务配置，能熟练 解决各种软硬件疑难问题，为招标人提供技术支持和支持服务或远程故障处理。</w:t>
      </w:r>
    </w:p>
    <w:p w14:paraId="57E2E7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现场工程师作为一线支持工程师，提供现场技术支持和维护服务。出现现场工程师无法解决的故障时，由设备制造商技术专家提供技术支持；必要时，技术专家可以提供现场服务。</w:t>
      </w:r>
    </w:p>
    <w:p w14:paraId="534D77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b)</w:t>
      </w:r>
      <w:r>
        <w:rPr>
          <w:rFonts w:hint="eastAsia" w:ascii="宋体" w:hAnsi="宋体" w:cs="宋体"/>
        </w:rPr>
        <w:tab/>
      </w:r>
      <w:r>
        <w:rPr>
          <w:rFonts w:hint="eastAsia" w:ascii="宋体" w:hAnsi="宋体" w:cs="宋体"/>
        </w:rPr>
        <w:t>其他配套要求</w:t>
      </w:r>
    </w:p>
    <w:p w14:paraId="639289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投标人要提供完善的各种服务流程，并为现场服务配备必要的交通工具等。</w:t>
      </w:r>
    </w:p>
    <w:p w14:paraId="584F66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5、 包括但不限于每年重点安全播出保障期提供原厂工程师现场值守不少于5次。</w:t>
      </w:r>
    </w:p>
    <w:p w14:paraId="0C0266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6、 电话支持服务</w:t>
      </w:r>
    </w:p>
    <w:p w14:paraId="19AC5E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投标人设立7×24小时的支持服务联系本地固定电话和移动电话、传真、E－MAIL，如果投标人联系方式有改变，必须提前一周通知招标人。</w:t>
      </w:r>
    </w:p>
    <w:p w14:paraId="695325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7、 保密义务</w:t>
      </w:r>
    </w:p>
    <w:p w14:paraId="5A21B5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为招标人提供服务时了解到的招标人的所有信息和资料为机密资料，包括：服务中涉及的网络、设备、业务平台、设计、计划、样品、设备、调查报告、图纸、工程进度表、技术规范、数据库、软件、相关用户登录账号及密码等所有资料和双方之间的其他任何商务、技术信息。合同期间及合同执行完毕后，投标人未经招标人书面同意，不得擅自将合同内容及招标人所有的信息和资料向第三方披露或用于合同以外的目的。</w:t>
      </w:r>
    </w:p>
    <w:p w14:paraId="0A160C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8、 安全义务</w:t>
      </w:r>
    </w:p>
    <w:p w14:paraId="716A34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为了保证招标人系统及网络安全，投标人在服务期间，需要远程登陆设备时，必须通知投标人相关维护人员并得到同意后，才能登陆入系统进行相关的操作；如进行可能影响业务的操作，必须征得招标人同意后方能实施；出入机房必须遵守机房的管理 规定。</w:t>
      </w:r>
    </w:p>
    <w:p w14:paraId="198C4B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9、在维护期内，提供不少于2次的存储技术培训。培训内容包括存储系统设备的维护、设备管理、流量监测、日常管理等。</w:t>
      </w:r>
    </w:p>
    <w:p w14:paraId="15E65A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10、保修期满后，如果出现不可预料的重大故障，投标方将尽全力帮助招标方在最短时间内进行修理或更换故障部件，招标 方承担所引起的相关费用。</w:t>
      </w:r>
    </w:p>
    <w:p w14:paraId="445506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11、保修期满后，如果出现特殊和紧急情况，在招标方要求下，投标方承诺将派遣其工程技术人员以优惠价格到现场进行对 投标系统设备检查和维修。</w:t>
      </w:r>
    </w:p>
    <w:p w14:paraId="5BF2A6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rPr>
      </w:pPr>
      <w:r>
        <w:rPr>
          <w:rFonts w:hint="eastAsia" w:ascii="宋体" w:hAnsi="宋体" w:cs="宋体"/>
        </w:rPr>
        <w:t>12、服务响应时间：维保期内，投标方应确保能为招标方提供7*24小时技术支持，投标方在接到招标方要求修复的通知后，应按照要求排除故障、及时修复，如不能及时解决应免费提供备机供招标方使用。在质保期内，如果用户提出要求，投标方应派技术人员在招标方指定现场进行支持服务。并对保修期以外的产品维护服务情况加以说明。</w:t>
      </w:r>
    </w:p>
    <w:p w14:paraId="7B243E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rPr>
      </w:pPr>
      <w:r>
        <w:rPr>
          <w:rFonts w:hint="eastAsia" w:ascii="宋体" w:hAnsi="宋体" w:cs="宋体"/>
          <w:b/>
          <w:bCs/>
        </w:rPr>
        <w:t>（二）故障定义及处理要求</w:t>
      </w:r>
    </w:p>
    <w:p w14:paraId="41F4A4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1)</w:t>
      </w:r>
      <w:r>
        <w:rPr>
          <w:rFonts w:hint="eastAsia" w:ascii="宋体" w:hAnsi="宋体" w:cs="宋体"/>
        </w:rPr>
        <w:tab/>
      </w:r>
      <w:r>
        <w:rPr>
          <w:rFonts w:hint="eastAsia" w:ascii="宋体" w:hAnsi="宋体" w:cs="宋体"/>
        </w:rPr>
        <w:t>故障级别定义</w:t>
      </w:r>
    </w:p>
    <w:p w14:paraId="3ABD23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故障级别由出现问题对招标人最终用户的影响的大小来决定。所有申请的级别都将由招标人和投标人支持机构共同决定，并以最终用户业务为重。</w:t>
      </w:r>
    </w:p>
    <w:p w14:paraId="6E583B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a)</w:t>
      </w:r>
      <w:r>
        <w:rPr>
          <w:rFonts w:hint="eastAsia" w:ascii="宋体" w:hAnsi="宋体" w:cs="宋体"/>
        </w:rPr>
        <w:tab/>
      </w:r>
      <w:r>
        <w:rPr>
          <w:rFonts w:hint="eastAsia" w:ascii="宋体" w:hAnsi="宋体" w:cs="宋体"/>
        </w:rPr>
        <w:t>一级故障</w:t>
      </w:r>
    </w:p>
    <w:p w14:paraId="5A6CFD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-在商业、经济、技术、安全等方面给最终用户造成重大损的故障。</w:t>
      </w:r>
    </w:p>
    <w:p w14:paraId="6CCBA9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-严重影响整个或局部系统运行，系统功能，或系统可靠性的故障。</w:t>
      </w:r>
    </w:p>
    <w:p w14:paraId="69747E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-严重影响最终用户服务质量的故障。</w:t>
      </w:r>
    </w:p>
    <w:p w14:paraId="7E455C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例如</w:t>
      </w:r>
    </w:p>
    <w:p w14:paraId="0F510C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－设备系统瘫痪，致使无法向用户提供业务服务。</w:t>
      </w:r>
    </w:p>
    <w:p w14:paraId="76101F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－分节点故障，致使部分用户无法使用业务服务，不能提供正常服务。</w:t>
      </w:r>
    </w:p>
    <w:p w14:paraId="659821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－受到大面积的安全攻击，致使大量重要业务无法使用。</w:t>
      </w:r>
    </w:p>
    <w:p w14:paraId="2BDEAA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b)</w:t>
      </w:r>
      <w:r>
        <w:rPr>
          <w:rFonts w:hint="eastAsia" w:ascii="宋体" w:hAnsi="宋体" w:cs="宋体"/>
        </w:rPr>
        <w:tab/>
      </w:r>
      <w:r>
        <w:rPr>
          <w:rFonts w:hint="eastAsia" w:ascii="宋体" w:hAnsi="宋体" w:cs="宋体"/>
        </w:rPr>
        <w:t>二级故障</w:t>
      </w:r>
    </w:p>
    <w:p w14:paraId="582AE2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－在商业、经济、技术、安全等方面给最终用户造成较严重损失的故障。</w:t>
      </w:r>
    </w:p>
    <w:p w14:paraId="6C64B1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－影响局部系统运行，系统功能，或系统可靠性的故障。</w:t>
      </w:r>
    </w:p>
    <w:p w14:paraId="6227D2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－影响最终用户服务质量的故障。</w:t>
      </w:r>
    </w:p>
    <w:p w14:paraId="3BC8A5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例如：</w:t>
      </w:r>
    </w:p>
    <w:p w14:paraId="57F664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－单台设备故障，致使失去冗余备份，系统整体的的可靠性降低。</w:t>
      </w:r>
    </w:p>
    <w:p w14:paraId="1E944A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－设备性能超负荷，致使最终用户感受到业务性能下降。</w:t>
      </w:r>
    </w:p>
    <w:p w14:paraId="6690F2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c)</w:t>
      </w:r>
      <w:r>
        <w:rPr>
          <w:rFonts w:hint="eastAsia" w:ascii="宋体" w:hAnsi="宋体" w:cs="宋体"/>
        </w:rPr>
        <w:tab/>
      </w:r>
      <w:r>
        <w:rPr>
          <w:rFonts w:hint="eastAsia" w:ascii="宋体" w:hAnsi="宋体" w:cs="宋体"/>
        </w:rPr>
        <w:t>三级故障</w:t>
      </w:r>
    </w:p>
    <w:p w14:paraId="4A49DE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－对最终用户造成较轻微影响的故障。</w:t>
      </w:r>
    </w:p>
    <w:p w14:paraId="713F44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－对产品功能造成轻微影响的故障。</w:t>
      </w:r>
    </w:p>
    <w:p w14:paraId="5C6151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－在商业、经济方面给最终用户造成轻微损失的故障。</w:t>
      </w:r>
    </w:p>
    <w:p w14:paraId="3D9BD5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－除紧急故障和严重故障外的其他问题。</w:t>
      </w:r>
    </w:p>
    <w:p w14:paraId="3F10A4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例如</w:t>
      </w:r>
    </w:p>
    <w:p w14:paraId="12150B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－一般节点故障，导致为部分用户提供的服务质量较差。</w:t>
      </w:r>
    </w:p>
    <w:p w14:paraId="61DF64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－有备份的设备的冗余部件出现可恢复的短时故障。</w:t>
      </w:r>
    </w:p>
    <w:p w14:paraId="089EC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－显示错误。</w:t>
      </w:r>
    </w:p>
    <w:p w14:paraId="74B697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－文件出错。</w:t>
      </w:r>
    </w:p>
    <w:p w14:paraId="657665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2)</w:t>
      </w:r>
      <w:r>
        <w:rPr>
          <w:rFonts w:hint="eastAsia" w:ascii="宋体" w:hAnsi="宋体" w:cs="宋体"/>
        </w:rPr>
        <w:tab/>
      </w:r>
      <w:r>
        <w:rPr>
          <w:rFonts w:hint="eastAsia" w:ascii="宋体" w:hAnsi="宋体" w:cs="宋体"/>
        </w:rPr>
        <w:t>故障处理服务规范</w:t>
      </w:r>
    </w:p>
    <w:p w14:paraId="5CEA01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招标人维护人员发现故障后，向投标人申告故障，投标人在收到招标人申告后为招标人进行故障处理服务，并根据招标人申告的故障级别提供相应的服务。</w:t>
      </w:r>
    </w:p>
    <w:p w14:paraId="4C08FF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a)</w:t>
      </w:r>
      <w:r>
        <w:rPr>
          <w:rFonts w:hint="eastAsia" w:ascii="宋体" w:hAnsi="宋体" w:cs="宋体"/>
        </w:rPr>
        <w:tab/>
      </w:r>
      <w:r>
        <w:rPr>
          <w:rFonts w:hint="eastAsia" w:ascii="宋体" w:hAnsi="宋体" w:cs="宋体"/>
        </w:rPr>
        <w:t>一级故障</w:t>
      </w:r>
    </w:p>
    <w:p w14:paraId="6FBE97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投标人在收到招标人故障申告后，应立即联系相关工程师，投标人工程师在5分钟内给予招标人电话响应，15分钟内远程登陆系统。</w:t>
      </w:r>
    </w:p>
    <w:p w14:paraId="2D152C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如果需要到现场，投标人需在保证远程处理的同时增派驻点工程师到达现场，广州120分钟内到达现场，深圳、佛山等节点3小时内到达现场。</w:t>
      </w:r>
    </w:p>
    <w:p w14:paraId="371EBE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投标人工程师需制定可行的临时应急方案，并在招标人许可后实施，在30分钟内恢复业务基本运行，使系统恢复到不影响招标人重要业务的运行或最终用户仅感受业务质量有轻微下降。</w:t>
      </w:r>
    </w:p>
    <w:p w14:paraId="3D2A46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投标人工程师在24小时内解决全部故障，其中包括硬件提供和更换的时间。</w:t>
      </w:r>
    </w:p>
    <w:p w14:paraId="11F9C1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投标人工程师在故障最终解决后1个工作日内提供故障报告。</w:t>
      </w:r>
    </w:p>
    <w:p w14:paraId="66F3FF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b)</w:t>
      </w:r>
      <w:r>
        <w:rPr>
          <w:rFonts w:hint="eastAsia" w:ascii="宋体" w:hAnsi="宋体" w:cs="宋体"/>
        </w:rPr>
        <w:tab/>
      </w:r>
      <w:r>
        <w:rPr>
          <w:rFonts w:hint="eastAsia" w:ascii="宋体" w:hAnsi="宋体" w:cs="宋体"/>
        </w:rPr>
        <w:t>二级故障</w:t>
      </w:r>
    </w:p>
    <w:p w14:paraId="5B1052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投标人在收到招标人故障申告后，应立即联系相关工程师，投标人工程师在10分钟内给予招标人电话响应，20分钟内远程登陆系统。</w:t>
      </w:r>
    </w:p>
    <w:p w14:paraId="316ACA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如果需要到现场，投标人需在保证远程处理的同时增派驻点工程师到达现场，广州节点2小时内到达现场，深圳、佛山等节点4小时内到达现场。</w:t>
      </w:r>
    </w:p>
    <w:p w14:paraId="19C0EF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工程师需制定可行的临时应急方案，并在招标人许可后实施，在30分钟内恢复业务基本运行，使设备或系统恢复到不影响招标人重要业务的运行或最终用户仅感受业务质量有轻微下降。投标人工程师在48小时内解决全部故障，其中包括硬件更换的时间。投标人工程师在故障最终解决后1个工作日内提供故障报告。</w:t>
      </w:r>
    </w:p>
    <w:p w14:paraId="0AADD6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c)</w:t>
      </w:r>
      <w:r>
        <w:rPr>
          <w:rFonts w:hint="eastAsia" w:ascii="宋体" w:hAnsi="宋体" w:cs="宋体"/>
        </w:rPr>
        <w:tab/>
      </w:r>
      <w:r>
        <w:rPr>
          <w:rFonts w:hint="eastAsia" w:ascii="宋体" w:hAnsi="宋体" w:cs="宋体"/>
        </w:rPr>
        <w:t>三级故障</w:t>
      </w:r>
    </w:p>
    <w:p w14:paraId="2F41D8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投标人在收到招标人故障申告后，应立即联系相关工程师，投标人工程师在30分钟内给予招标人电话响应，2小时内远程登陆系统。</w:t>
      </w:r>
    </w:p>
    <w:p w14:paraId="1A03D1E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如果需要到现场，投标人派工程师在1个工作日内到达现场。投标人工程师需制定可行的临时应急方案，并在招标人许可后实施，在1个工作日内恢复业务基本运行，使系统恢复到不影响招标人重要业务的运行或最终用户仅感受业务质量有轻微下降。</w:t>
      </w:r>
    </w:p>
    <w:p w14:paraId="13D125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投标人工程师在5个工作日内解决全部故障，其中包括硬件提供和更换的时间。</w:t>
      </w:r>
    </w:p>
    <w:p w14:paraId="0EDBD2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投标人工程师在故障最终解决后2个工作日内提供故障报告。</w:t>
      </w:r>
    </w:p>
    <w:p w14:paraId="6FFC42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注：1、以上各种时间均以故障申告时间为起点。</w:t>
      </w:r>
    </w:p>
    <w:p w14:paraId="6BC805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2、若存在软件缺陷，在保证系统基本恢复运行并且不影响用户业务的情况下，软件缺陷在三个月内解决。</w:t>
      </w:r>
    </w:p>
    <w:p w14:paraId="2B8AD9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3、如因招标人传输故障导致业务无法恢复，则业务恢复时间可以从传输恢复之日起计算。</w:t>
      </w:r>
    </w:p>
    <w:p w14:paraId="5A5C5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3)</w:t>
      </w:r>
      <w:r>
        <w:rPr>
          <w:rFonts w:hint="eastAsia" w:ascii="宋体" w:hAnsi="宋体" w:cs="宋体"/>
        </w:rPr>
        <w:tab/>
      </w:r>
      <w:r>
        <w:rPr>
          <w:rFonts w:hint="eastAsia" w:ascii="宋体" w:hAnsi="宋体" w:cs="宋体"/>
        </w:rPr>
        <w:t>故障处理双方分工界定</w:t>
      </w:r>
    </w:p>
    <w:p w14:paraId="30911A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A.招标人职责</w:t>
      </w:r>
    </w:p>
    <w:p w14:paraId="406970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a.在出现故障后，将故障现象报给投标人。</w:t>
      </w:r>
    </w:p>
    <w:p w14:paraId="266DBB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b.由维护工程师现场组织投标人工程师做故障解决操作。</w:t>
      </w:r>
    </w:p>
    <w:p w14:paraId="5C6F26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c.招标人要保证申报的续保设备序号的正确性。</w:t>
      </w:r>
    </w:p>
    <w:p w14:paraId="50D3EE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B.投标人职责</w:t>
      </w:r>
    </w:p>
    <w:p w14:paraId="54CA35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a.作为招标人故障第一响应者，尽力判断故障，给出解决方案，协助招标人解决故障。当故障发生时，无法明确断定是投标设备或第三方设备原因，投标人负责跟进查找故障原因，直至查明故障原因。</w:t>
      </w:r>
    </w:p>
    <w:p w14:paraId="5898B5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b.协助招标人维护人员解决故障。出现故障时，招标人确定需要现场支持时，提供现场支持服务。</w:t>
      </w:r>
    </w:p>
    <w:p w14:paraId="7EDF16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rPr>
      </w:pPr>
      <w:r>
        <w:rPr>
          <w:rFonts w:hint="eastAsia" w:ascii="宋体" w:hAnsi="宋体" w:cs="宋体"/>
        </w:rPr>
        <w:t>c.每月统计招标人报到投标人技术支持的故障，并存档妥善保管。</w:t>
      </w:r>
    </w:p>
    <w:sectPr>
      <w:footerReference r:id="rId3"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体">
    <w:altName w:val="仿宋"/>
    <w:panose1 w:val="00000000000000000000"/>
    <w:charset w:val="86"/>
    <w:family w:val="swiss"/>
    <w:pitch w:val="default"/>
    <w:sig w:usb0="00000000" w:usb1="00000000" w:usb2="00000010" w:usb3="00000000" w:csb0="00040000" w:csb1="00000000"/>
  </w:font>
  <w:font w:name="LKHHE B+ Palatino">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E545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DEDDB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DEDDB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07395"/>
    <w:multiLevelType w:val="multilevel"/>
    <w:tmpl w:val="02E07395"/>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pStyle w:val="5"/>
      <w:isLgl/>
      <w:lvlText w:val="%1.%2.%3."/>
      <w:lvlJc w:val="left"/>
      <w:pPr>
        <w:ind w:left="720" w:hanging="720"/>
      </w:pPr>
      <w:rPr>
        <w:rFonts w:hint="eastAsia"/>
      </w:rPr>
    </w:lvl>
    <w:lvl w:ilvl="3" w:tentative="0">
      <w:start w:val="1"/>
      <w:numFmt w:val="decimal"/>
      <w:pStyle w:val="6"/>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20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diYTk4NTJmNmQyMzkyY2JkMDMwODExMjI0ZDM5NjEifQ=="/>
  </w:docVars>
  <w:rsids>
    <w:rsidRoot w:val="009D711F"/>
    <w:rsid w:val="00004610"/>
    <w:rsid w:val="00011891"/>
    <w:rsid w:val="000229FF"/>
    <w:rsid w:val="00022FF5"/>
    <w:rsid w:val="0004540A"/>
    <w:rsid w:val="00064D72"/>
    <w:rsid w:val="000C3C23"/>
    <w:rsid w:val="000E3CDE"/>
    <w:rsid w:val="000E6D25"/>
    <w:rsid w:val="00125576"/>
    <w:rsid w:val="00132F66"/>
    <w:rsid w:val="00133EA3"/>
    <w:rsid w:val="00135D72"/>
    <w:rsid w:val="00153D94"/>
    <w:rsid w:val="00156CE3"/>
    <w:rsid w:val="0018170E"/>
    <w:rsid w:val="00186E02"/>
    <w:rsid w:val="00187358"/>
    <w:rsid w:val="00191300"/>
    <w:rsid w:val="001C33F0"/>
    <w:rsid w:val="001F55FC"/>
    <w:rsid w:val="0020300D"/>
    <w:rsid w:val="002101D7"/>
    <w:rsid w:val="00210478"/>
    <w:rsid w:val="00211A26"/>
    <w:rsid w:val="00212BE2"/>
    <w:rsid w:val="002374EA"/>
    <w:rsid w:val="002615EA"/>
    <w:rsid w:val="00262BEC"/>
    <w:rsid w:val="00273B73"/>
    <w:rsid w:val="002844E3"/>
    <w:rsid w:val="00295349"/>
    <w:rsid w:val="002D79F7"/>
    <w:rsid w:val="00315890"/>
    <w:rsid w:val="00321875"/>
    <w:rsid w:val="00321CAF"/>
    <w:rsid w:val="00346D20"/>
    <w:rsid w:val="00352855"/>
    <w:rsid w:val="003845C3"/>
    <w:rsid w:val="003900AC"/>
    <w:rsid w:val="003A2946"/>
    <w:rsid w:val="003C5BF2"/>
    <w:rsid w:val="003E2A29"/>
    <w:rsid w:val="003E6F64"/>
    <w:rsid w:val="0040459A"/>
    <w:rsid w:val="0042517B"/>
    <w:rsid w:val="00464CB9"/>
    <w:rsid w:val="00493611"/>
    <w:rsid w:val="00496735"/>
    <w:rsid w:val="004B1C97"/>
    <w:rsid w:val="004B33F8"/>
    <w:rsid w:val="004B4737"/>
    <w:rsid w:val="004E1ECE"/>
    <w:rsid w:val="004E5C68"/>
    <w:rsid w:val="00503372"/>
    <w:rsid w:val="00505D68"/>
    <w:rsid w:val="0052593B"/>
    <w:rsid w:val="00580C2E"/>
    <w:rsid w:val="005827C6"/>
    <w:rsid w:val="005947D2"/>
    <w:rsid w:val="005A6C45"/>
    <w:rsid w:val="005B26FB"/>
    <w:rsid w:val="005B5D5E"/>
    <w:rsid w:val="005E08F1"/>
    <w:rsid w:val="005E34DE"/>
    <w:rsid w:val="005E5EE8"/>
    <w:rsid w:val="005F02D3"/>
    <w:rsid w:val="005F1F18"/>
    <w:rsid w:val="005F3946"/>
    <w:rsid w:val="006122F6"/>
    <w:rsid w:val="006145CF"/>
    <w:rsid w:val="00626881"/>
    <w:rsid w:val="0063069F"/>
    <w:rsid w:val="00641C96"/>
    <w:rsid w:val="00644E74"/>
    <w:rsid w:val="00655E76"/>
    <w:rsid w:val="00680BBF"/>
    <w:rsid w:val="00680DA4"/>
    <w:rsid w:val="0068592C"/>
    <w:rsid w:val="006A07DF"/>
    <w:rsid w:val="007014EB"/>
    <w:rsid w:val="00735AB6"/>
    <w:rsid w:val="00741A23"/>
    <w:rsid w:val="00773EE8"/>
    <w:rsid w:val="00783E90"/>
    <w:rsid w:val="007953C6"/>
    <w:rsid w:val="007A1039"/>
    <w:rsid w:val="007A23EE"/>
    <w:rsid w:val="007B0A8C"/>
    <w:rsid w:val="007B3CA6"/>
    <w:rsid w:val="007C3839"/>
    <w:rsid w:val="007D0487"/>
    <w:rsid w:val="007E3B54"/>
    <w:rsid w:val="007F1DA5"/>
    <w:rsid w:val="007F7935"/>
    <w:rsid w:val="00826775"/>
    <w:rsid w:val="00830FF6"/>
    <w:rsid w:val="0084144D"/>
    <w:rsid w:val="00851784"/>
    <w:rsid w:val="00864577"/>
    <w:rsid w:val="0087009A"/>
    <w:rsid w:val="00897D2C"/>
    <w:rsid w:val="008B1AE1"/>
    <w:rsid w:val="008B4458"/>
    <w:rsid w:val="008F2CD0"/>
    <w:rsid w:val="008F5D59"/>
    <w:rsid w:val="00904537"/>
    <w:rsid w:val="0091496A"/>
    <w:rsid w:val="009240C6"/>
    <w:rsid w:val="009249B5"/>
    <w:rsid w:val="0094228D"/>
    <w:rsid w:val="0095309E"/>
    <w:rsid w:val="0096526E"/>
    <w:rsid w:val="009679D9"/>
    <w:rsid w:val="00982404"/>
    <w:rsid w:val="009A1574"/>
    <w:rsid w:val="009D711F"/>
    <w:rsid w:val="009E156A"/>
    <w:rsid w:val="009E42B5"/>
    <w:rsid w:val="009E7330"/>
    <w:rsid w:val="009F7500"/>
    <w:rsid w:val="00A1139D"/>
    <w:rsid w:val="00A741B7"/>
    <w:rsid w:val="00AD75FB"/>
    <w:rsid w:val="00AE2DB1"/>
    <w:rsid w:val="00AF07B7"/>
    <w:rsid w:val="00B32EE6"/>
    <w:rsid w:val="00BB4EF0"/>
    <w:rsid w:val="00BC62CB"/>
    <w:rsid w:val="00BE2AEF"/>
    <w:rsid w:val="00BF2D30"/>
    <w:rsid w:val="00BF4ABC"/>
    <w:rsid w:val="00C1623B"/>
    <w:rsid w:val="00C17CD8"/>
    <w:rsid w:val="00C410A4"/>
    <w:rsid w:val="00C42C23"/>
    <w:rsid w:val="00C545B8"/>
    <w:rsid w:val="00C63250"/>
    <w:rsid w:val="00C73C5E"/>
    <w:rsid w:val="00C802D3"/>
    <w:rsid w:val="00C80F42"/>
    <w:rsid w:val="00C81132"/>
    <w:rsid w:val="00C905D6"/>
    <w:rsid w:val="00C938E0"/>
    <w:rsid w:val="00CA2DFA"/>
    <w:rsid w:val="00D71A5B"/>
    <w:rsid w:val="00D75773"/>
    <w:rsid w:val="00D86100"/>
    <w:rsid w:val="00D93D4E"/>
    <w:rsid w:val="00DA3FF0"/>
    <w:rsid w:val="00DC1377"/>
    <w:rsid w:val="00DF1321"/>
    <w:rsid w:val="00E103DA"/>
    <w:rsid w:val="00E4215A"/>
    <w:rsid w:val="00E6609E"/>
    <w:rsid w:val="00E86F01"/>
    <w:rsid w:val="00E879BD"/>
    <w:rsid w:val="00EA1D9A"/>
    <w:rsid w:val="00EB3AD8"/>
    <w:rsid w:val="00EB3B60"/>
    <w:rsid w:val="00EC593F"/>
    <w:rsid w:val="00F132C0"/>
    <w:rsid w:val="00F31DEB"/>
    <w:rsid w:val="00F505F5"/>
    <w:rsid w:val="00F62048"/>
    <w:rsid w:val="00F711C2"/>
    <w:rsid w:val="00F713AB"/>
    <w:rsid w:val="00F72EBF"/>
    <w:rsid w:val="00F92EF8"/>
    <w:rsid w:val="00F9566E"/>
    <w:rsid w:val="00FB70C8"/>
    <w:rsid w:val="00FC7509"/>
    <w:rsid w:val="00FD3128"/>
    <w:rsid w:val="00FD5E13"/>
    <w:rsid w:val="00FE09E4"/>
    <w:rsid w:val="00FF6AD5"/>
    <w:rsid w:val="016E26EE"/>
    <w:rsid w:val="01F971B0"/>
    <w:rsid w:val="02A8199B"/>
    <w:rsid w:val="03027A29"/>
    <w:rsid w:val="03B94246"/>
    <w:rsid w:val="04102916"/>
    <w:rsid w:val="042269B2"/>
    <w:rsid w:val="04792073"/>
    <w:rsid w:val="04823442"/>
    <w:rsid w:val="04BA1FD6"/>
    <w:rsid w:val="052878D5"/>
    <w:rsid w:val="05706325"/>
    <w:rsid w:val="05825C4A"/>
    <w:rsid w:val="05A62574"/>
    <w:rsid w:val="05A752A3"/>
    <w:rsid w:val="05FD2B10"/>
    <w:rsid w:val="06123B2E"/>
    <w:rsid w:val="061618D8"/>
    <w:rsid w:val="068C2AA6"/>
    <w:rsid w:val="06A02AF4"/>
    <w:rsid w:val="07504FB6"/>
    <w:rsid w:val="077F00A3"/>
    <w:rsid w:val="07E060CA"/>
    <w:rsid w:val="08206A86"/>
    <w:rsid w:val="089A09F3"/>
    <w:rsid w:val="08FC3585"/>
    <w:rsid w:val="090E2322"/>
    <w:rsid w:val="0B683B84"/>
    <w:rsid w:val="0D9F1DC3"/>
    <w:rsid w:val="0DB94680"/>
    <w:rsid w:val="0DE1526B"/>
    <w:rsid w:val="0F8013C4"/>
    <w:rsid w:val="107142C8"/>
    <w:rsid w:val="123A5F3E"/>
    <w:rsid w:val="1319248D"/>
    <w:rsid w:val="15040ECB"/>
    <w:rsid w:val="151947FE"/>
    <w:rsid w:val="156F517A"/>
    <w:rsid w:val="15FD6632"/>
    <w:rsid w:val="160950AD"/>
    <w:rsid w:val="16302F25"/>
    <w:rsid w:val="165C62DB"/>
    <w:rsid w:val="16612C47"/>
    <w:rsid w:val="16C87C07"/>
    <w:rsid w:val="16D73D1B"/>
    <w:rsid w:val="175B3C78"/>
    <w:rsid w:val="176333D2"/>
    <w:rsid w:val="17955982"/>
    <w:rsid w:val="18212973"/>
    <w:rsid w:val="18D058ED"/>
    <w:rsid w:val="19322427"/>
    <w:rsid w:val="19AC6AF4"/>
    <w:rsid w:val="1A3477C4"/>
    <w:rsid w:val="1A7B06FD"/>
    <w:rsid w:val="1AE45BF4"/>
    <w:rsid w:val="1C38318C"/>
    <w:rsid w:val="1C7678C4"/>
    <w:rsid w:val="1D403858"/>
    <w:rsid w:val="1D87384D"/>
    <w:rsid w:val="1D8A4903"/>
    <w:rsid w:val="1DAE6295"/>
    <w:rsid w:val="1DB4109C"/>
    <w:rsid w:val="1E380731"/>
    <w:rsid w:val="1E403142"/>
    <w:rsid w:val="1E833EC6"/>
    <w:rsid w:val="1EA700BC"/>
    <w:rsid w:val="1EE71E22"/>
    <w:rsid w:val="1EF32414"/>
    <w:rsid w:val="1F422FD0"/>
    <w:rsid w:val="205D5FB8"/>
    <w:rsid w:val="20BE20B5"/>
    <w:rsid w:val="20E56936"/>
    <w:rsid w:val="211467ED"/>
    <w:rsid w:val="217F396E"/>
    <w:rsid w:val="223E478E"/>
    <w:rsid w:val="22C9023D"/>
    <w:rsid w:val="23077084"/>
    <w:rsid w:val="2322550C"/>
    <w:rsid w:val="23A93917"/>
    <w:rsid w:val="23CD7C1F"/>
    <w:rsid w:val="24046961"/>
    <w:rsid w:val="240E4511"/>
    <w:rsid w:val="248D60CD"/>
    <w:rsid w:val="249B5D76"/>
    <w:rsid w:val="24BA29F5"/>
    <w:rsid w:val="255D4FD5"/>
    <w:rsid w:val="25634F78"/>
    <w:rsid w:val="259742AA"/>
    <w:rsid w:val="26302BF1"/>
    <w:rsid w:val="275863FE"/>
    <w:rsid w:val="27656538"/>
    <w:rsid w:val="27A73754"/>
    <w:rsid w:val="28D21487"/>
    <w:rsid w:val="29336385"/>
    <w:rsid w:val="2953157D"/>
    <w:rsid w:val="2A571319"/>
    <w:rsid w:val="2A5E5BEC"/>
    <w:rsid w:val="2A8624FC"/>
    <w:rsid w:val="2ADF2143"/>
    <w:rsid w:val="2B0924B3"/>
    <w:rsid w:val="2B970139"/>
    <w:rsid w:val="2BBB5519"/>
    <w:rsid w:val="2C125544"/>
    <w:rsid w:val="2C4270E3"/>
    <w:rsid w:val="2C8C3640"/>
    <w:rsid w:val="2CB27F13"/>
    <w:rsid w:val="2CCD0F33"/>
    <w:rsid w:val="2CE900F0"/>
    <w:rsid w:val="2E0F3FEE"/>
    <w:rsid w:val="300A0FD2"/>
    <w:rsid w:val="30EC6900"/>
    <w:rsid w:val="31011B73"/>
    <w:rsid w:val="31170AC4"/>
    <w:rsid w:val="31741BD1"/>
    <w:rsid w:val="318039DA"/>
    <w:rsid w:val="32182E47"/>
    <w:rsid w:val="32A2359B"/>
    <w:rsid w:val="32D14857"/>
    <w:rsid w:val="33381C51"/>
    <w:rsid w:val="35D329E0"/>
    <w:rsid w:val="36976F12"/>
    <w:rsid w:val="38161A64"/>
    <w:rsid w:val="391E4F75"/>
    <w:rsid w:val="39BD6064"/>
    <w:rsid w:val="39DD1D6C"/>
    <w:rsid w:val="3A161E70"/>
    <w:rsid w:val="3B787BA9"/>
    <w:rsid w:val="3B7B6722"/>
    <w:rsid w:val="3C0723C0"/>
    <w:rsid w:val="3C0E61D6"/>
    <w:rsid w:val="3C3F596C"/>
    <w:rsid w:val="3C6B79B0"/>
    <w:rsid w:val="3C6C3FE5"/>
    <w:rsid w:val="3CCD3D1B"/>
    <w:rsid w:val="3DA71246"/>
    <w:rsid w:val="3DD112BA"/>
    <w:rsid w:val="3DE83D8D"/>
    <w:rsid w:val="3EC0100B"/>
    <w:rsid w:val="3ED119DE"/>
    <w:rsid w:val="3F215E8D"/>
    <w:rsid w:val="3FB314F3"/>
    <w:rsid w:val="3FC2384E"/>
    <w:rsid w:val="408A5CB3"/>
    <w:rsid w:val="4194717D"/>
    <w:rsid w:val="41A15010"/>
    <w:rsid w:val="4278473A"/>
    <w:rsid w:val="428E14DE"/>
    <w:rsid w:val="42A830FF"/>
    <w:rsid w:val="43C16D29"/>
    <w:rsid w:val="44A111E4"/>
    <w:rsid w:val="44CC6814"/>
    <w:rsid w:val="44CC7429"/>
    <w:rsid w:val="44DA4E02"/>
    <w:rsid w:val="44FA7C3F"/>
    <w:rsid w:val="453F40FA"/>
    <w:rsid w:val="45E648B0"/>
    <w:rsid w:val="466170FB"/>
    <w:rsid w:val="47553FAE"/>
    <w:rsid w:val="4760114D"/>
    <w:rsid w:val="47A37E3E"/>
    <w:rsid w:val="482939BF"/>
    <w:rsid w:val="484E5E9D"/>
    <w:rsid w:val="48C63B98"/>
    <w:rsid w:val="49406624"/>
    <w:rsid w:val="49ED197A"/>
    <w:rsid w:val="4A3C1ECE"/>
    <w:rsid w:val="4ADB3F74"/>
    <w:rsid w:val="4B70526A"/>
    <w:rsid w:val="4B9338C5"/>
    <w:rsid w:val="4C221024"/>
    <w:rsid w:val="4CF035CB"/>
    <w:rsid w:val="4D4752E8"/>
    <w:rsid w:val="4D9D560B"/>
    <w:rsid w:val="4E331D07"/>
    <w:rsid w:val="4ED33443"/>
    <w:rsid w:val="4EFB1EE3"/>
    <w:rsid w:val="4F036BF8"/>
    <w:rsid w:val="504246C9"/>
    <w:rsid w:val="50892910"/>
    <w:rsid w:val="51835FBF"/>
    <w:rsid w:val="51CF3EB6"/>
    <w:rsid w:val="52155943"/>
    <w:rsid w:val="524724F9"/>
    <w:rsid w:val="529C6A94"/>
    <w:rsid w:val="53DF612B"/>
    <w:rsid w:val="54026103"/>
    <w:rsid w:val="546D3BC9"/>
    <w:rsid w:val="54883E37"/>
    <w:rsid w:val="54F712B4"/>
    <w:rsid w:val="54FD34C1"/>
    <w:rsid w:val="55BA49E9"/>
    <w:rsid w:val="55BC6024"/>
    <w:rsid w:val="55C20305"/>
    <w:rsid w:val="55E71B19"/>
    <w:rsid w:val="566F16C2"/>
    <w:rsid w:val="570F757A"/>
    <w:rsid w:val="57437197"/>
    <w:rsid w:val="5778243D"/>
    <w:rsid w:val="57F9527F"/>
    <w:rsid w:val="5854618C"/>
    <w:rsid w:val="59C642EE"/>
    <w:rsid w:val="5A9E3691"/>
    <w:rsid w:val="5AB81117"/>
    <w:rsid w:val="5B005D9F"/>
    <w:rsid w:val="5C0A6952"/>
    <w:rsid w:val="5D7A66B4"/>
    <w:rsid w:val="5D891FCB"/>
    <w:rsid w:val="5E2B6DFB"/>
    <w:rsid w:val="5E6741C7"/>
    <w:rsid w:val="5E6D556C"/>
    <w:rsid w:val="5EA11EA7"/>
    <w:rsid w:val="5F6D3613"/>
    <w:rsid w:val="609C3C0B"/>
    <w:rsid w:val="60CC43C0"/>
    <w:rsid w:val="60F1667C"/>
    <w:rsid w:val="613B64B5"/>
    <w:rsid w:val="618344A8"/>
    <w:rsid w:val="618618CE"/>
    <w:rsid w:val="6239667C"/>
    <w:rsid w:val="624842C0"/>
    <w:rsid w:val="62A96AD4"/>
    <w:rsid w:val="631019E4"/>
    <w:rsid w:val="63252BC2"/>
    <w:rsid w:val="634B7FD3"/>
    <w:rsid w:val="64226CCE"/>
    <w:rsid w:val="64641702"/>
    <w:rsid w:val="64B657A2"/>
    <w:rsid w:val="64EC323A"/>
    <w:rsid w:val="655B1A26"/>
    <w:rsid w:val="657310AD"/>
    <w:rsid w:val="65817EF5"/>
    <w:rsid w:val="658B4A36"/>
    <w:rsid w:val="65E128EB"/>
    <w:rsid w:val="670B2E58"/>
    <w:rsid w:val="67F31962"/>
    <w:rsid w:val="684574FB"/>
    <w:rsid w:val="68B65D3D"/>
    <w:rsid w:val="68C41D74"/>
    <w:rsid w:val="690E6FC6"/>
    <w:rsid w:val="69204799"/>
    <w:rsid w:val="693206E8"/>
    <w:rsid w:val="6AB6136D"/>
    <w:rsid w:val="6C0C33EC"/>
    <w:rsid w:val="6C461851"/>
    <w:rsid w:val="6C700663"/>
    <w:rsid w:val="6C795EB9"/>
    <w:rsid w:val="6CA47EF5"/>
    <w:rsid w:val="6CAD4AD8"/>
    <w:rsid w:val="6D5907B2"/>
    <w:rsid w:val="6DD051C8"/>
    <w:rsid w:val="6EB92425"/>
    <w:rsid w:val="6F7F304C"/>
    <w:rsid w:val="6FC34322"/>
    <w:rsid w:val="702A41E4"/>
    <w:rsid w:val="702D2D33"/>
    <w:rsid w:val="70C01D60"/>
    <w:rsid w:val="711073F6"/>
    <w:rsid w:val="71AF7537"/>
    <w:rsid w:val="72175614"/>
    <w:rsid w:val="72937B28"/>
    <w:rsid w:val="72CE3833"/>
    <w:rsid w:val="72D66DD7"/>
    <w:rsid w:val="732E3921"/>
    <w:rsid w:val="73830C7C"/>
    <w:rsid w:val="74276179"/>
    <w:rsid w:val="74277A15"/>
    <w:rsid w:val="747C5AA5"/>
    <w:rsid w:val="74A919FB"/>
    <w:rsid w:val="74F85522"/>
    <w:rsid w:val="75B173BC"/>
    <w:rsid w:val="75CC10A0"/>
    <w:rsid w:val="77A14380"/>
    <w:rsid w:val="78A015DF"/>
    <w:rsid w:val="78D70444"/>
    <w:rsid w:val="799C3096"/>
    <w:rsid w:val="799C622E"/>
    <w:rsid w:val="7A8225E3"/>
    <w:rsid w:val="7AEE7C3D"/>
    <w:rsid w:val="7AF16E13"/>
    <w:rsid w:val="7B195369"/>
    <w:rsid w:val="7BA63CA4"/>
    <w:rsid w:val="7BE116CB"/>
    <w:rsid w:val="7BFE6B76"/>
    <w:rsid w:val="7C423F3F"/>
    <w:rsid w:val="7C484029"/>
    <w:rsid w:val="7CC73F74"/>
    <w:rsid w:val="7D17640F"/>
    <w:rsid w:val="7D7327D7"/>
    <w:rsid w:val="7DDC7C4B"/>
    <w:rsid w:val="7E3F6FA8"/>
    <w:rsid w:val="7ED31DC6"/>
    <w:rsid w:val="7F546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16"/>
    <w:qFormat/>
    <w:uiPriority w:val="9"/>
    <w:pPr>
      <w:keepNext/>
      <w:keepLines/>
      <w:spacing w:before="340" w:after="330" w:line="578" w:lineRule="auto"/>
      <w:outlineLvl w:val="0"/>
    </w:pPr>
    <w:rPr>
      <w:b/>
      <w:bCs/>
      <w:kern w:val="44"/>
      <w:sz w:val="32"/>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cstheme="majorBidi"/>
      <w:b/>
      <w:bCs/>
      <w:sz w:val="30"/>
      <w:szCs w:val="32"/>
    </w:rPr>
  </w:style>
  <w:style w:type="paragraph" w:styleId="5">
    <w:name w:val="heading 3"/>
    <w:basedOn w:val="1"/>
    <w:next w:val="1"/>
    <w:unhideWhenUsed/>
    <w:qFormat/>
    <w:uiPriority w:val="9"/>
    <w:pPr>
      <w:keepNext/>
      <w:keepLines/>
      <w:numPr>
        <w:ilvl w:val="2"/>
        <w:numId w:val="1"/>
      </w:numPr>
      <w:spacing w:before="260" w:after="260" w:line="413" w:lineRule="auto"/>
      <w:outlineLvl w:val="2"/>
    </w:pPr>
    <w:rPr>
      <w:b/>
      <w:sz w:val="32"/>
    </w:rPr>
  </w:style>
  <w:style w:type="paragraph" w:styleId="6">
    <w:name w:val="heading 4"/>
    <w:basedOn w:val="1"/>
    <w:next w:val="1"/>
    <w:unhideWhenUsed/>
    <w:qFormat/>
    <w:uiPriority w:val="9"/>
    <w:pPr>
      <w:keepNext/>
      <w:keepLines/>
      <w:numPr>
        <w:ilvl w:val="3"/>
        <w:numId w:val="1"/>
      </w:numPr>
      <w:spacing w:before="280" w:after="290"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after="50" w:afterLines="50" w:line="360" w:lineRule="auto"/>
      <w:ind w:firstLine="420" w:firstLineChars="200"/>
    </w:pPr>
    <w:rPr>
      <w:rFonts w:ascii="Calibri" w:hAnsi="Calibri"/>
    </w:rPr>
  </w:style>
  <w:style w:type="paragraph" w:styleId="7">
    <w:name w:val="footer"/>
    <w:basedOn w:val="1"/>
    <w:unhideWhenUsed/>
    <w:qFormat/>
    <w:uiPriority w:val="99"/>
    <w:pPr>
      <w:tabs>
        <w:tab w:val="center" w:pos="4153"/>
        <w:tab w:val="right" w:pos="8306"/>
      </w:tabs>
      <w:snapToGrid w:val="0"/>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420" w:leftChars="200"/>
    </w:p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59"/>
    <w:pPr>
      <w:spacing w:before="20" w:beforeLines="20" w:after="20" w:afterLines="20" w:line="360" w:lineRule="auto"/>
      <w:jc w:val="both"/>
    </w:pPr>
    <w:tblP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
    <w:tcPr>
      <w:shd w:val="clear" w:color="auto" w:fill="FFFFFF" w:themeFill="background1"/>
      <w:vAlign w:val="center"/>
    </w:tcPr>
    <w:tblStylePr w:type="firstRow">
      <w:pPr>
        <w:wordWrap/>
        <w:spacing w:line="360" w:lineRule="auto"/>
        <w:jc w:val="center"/>
      </w:pPr>
      <w:rPr>
        <w:rFonts w:ascii="Times New Roman" w:hAnsi="Times New Roman" w:eastAsiaTheme="minorEastAsia"/>
        <w:b/>
        <w:sz w:val="24"/>
      </w:rPr>
      <w:tcPr>
        <w:shd w:val="clear" w:color="auto" w:fill="D8D8D8" w:themeFill="background1" w:themeFillShade="D9"/>
      </w:tcPr>
    </w:tblStylePr>
  </w:style>
  <w:style w:type="character" w:styleId="14">
    <w:name w:val="Strong"/>
    <w:basedOn w:val="13"/>
    <w:qFormat/>
    <w:uiPriority w:val="22"/>
    <w:rPr>
      <w:b/>
      <w:bCs/>
    </w:rPr>
  </w:style>
  <w:style w:type="paragraph" w:customStyle="1" w:styleId="15">
    <w:name w:val="table"/>
    <w:basedOn w:val="1"/>
    <w:qFormat/>
    <w:uiPriority w:val="0"/>
    <w:pPr>
      <w:widowControl/>
      <w:overflowPunct w:val="0"/>
      <w:autoSpaceDE w:val="0"/>
      <w:autoSpaceDN w:val="0"/>
      <w:adjustRightInd w:val="0"/>
      <w:spacing w:before="60" w:after="60"/>
      <w:jc w:val="center"/>
      <w:textAlignment w:val="baseline"/>
    </w:pPr>
    <w:rPr>
      <w:rFonts w:ascii="仿宋体" w:eastAsia="仿宋体"/>
      <w:kern w:val="0"/>
      <w:sz w:val="24"/>
      <w:szCs w:val="20"/>
    </w:rPr>
  </w:style>
  <w:style w:type="character" w:customStyle="1" w:styleId="16">
    <w:name w:val="标题 1 字符"/>
    <w:basedOn w:val="13"/>
    <w:link w:val="2"/>
    <w:qFormat/>
    <w:uiPriority w:val="9"/>
    <w:rPr>
      <w:rFonts w:ascii="Times New Roman" w:hAnsi="Times New Roman" w:eastAsia="宋体" w:cs="Times New Roman"/>
      <w:b/>
      <w:bCs/>
      <w:kern w:val="44"/>
      <w:sz w:val="32"/>
      <w:szCs w:val="44"/>
    </w:rPr>
  </w:style>
  <w:style w:type="paragraph" w:styleId="17">
    <w:name w:val="List Paragraph"/>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LKHHE B+ Palatino" w:hAnsi="Times New Roman" w:eastAsia="LKHHE B+ Palatino" w:cs="LKHHE B+ Palatino"/>
      <w:color w:val="000000"/>
      <w:sz w:val="24"/>
      <w:szCs w:val="24"/>
      <w:lang w:val="en-US" w:eastAsia="zh-CN" w:bidi="ar-SA"/>
    </w:rPr>
  </w:style>
  <w:style w:type="paragraph" w:customStyle="1" w:styleId="19">
    <w:name w:val="正文360首行缩进"/>
    <w:basedOn w:val="1"/>
    <w:link w:val="20"/>
    <w:qFormat/>
    <w:uiPriority w:val="0"/>
    <w:pPr>
      <w:widowControl/>
      <w:spacing w:after="50" w:line="300" w:lineRule="auto"/>
      <w:ind w:firstLine="200" w:firstLineChars="200"/>
      <w:jc w:val="left"/>
    </w:pPr>
    <w:rPr>
      <w:rFonts w:ascii="Arial" w:hAnsi="Arial" w:eastAsia="等线"/>
      <w:kern w:val="0"/>
      <w:szCs w:val="21"/>
    </w:rPr>
  </w:style>
  <w:style w:type="character" w:customStyle="1" w:styleId="20">
    <w:name w:val="正文360首行缩进 Char"/>
    <w:link w:val="19"/>
    <w:qFormat/>
    <w:uiPriority w:val="0"/>
    <w:rPr>
      <w:rFonts w:ascii="Arial" w:hAnsi="Arial" w:eastAsia="等线" w:cs="Times New Roman"/>
      <w:kern w:val="0"/>
      <w:sz w:val="21"/>
      <w:szCs w:val="21"/>
    </w:rPr>
  </w:style>
  <w:style w:type="character" w:customStyle="1" w:styleId="21">
    <w:name w:val="标题 2 字符"/>
    <w:basedOn w:val="13"/>
    <w:link w:val="4"/>
    <w:qFormat/>
    <w:uiPriority w:val="9"/>
    <w:rPr>
      <w:rFonts w:eastAsia="宋体" w:asciiTheme="majorHAnsi" w:hAnsiTheme="majorHAnsi" w:cstheme="majorBidi"/>
      <w:b/>
      <w:bCs/>
      <w:sz w:val="30"/>
      <w:szCs w:val="32"/>
    </w:rPr>
  </w:style>
  <w:style w:type="paragraph" w:customStyle="1" w:styleId="22">
    <w:name w:val="正文-奇安信"/>
    <w:basedOn w:val="1"/>
    <w:qFormat/>
    <w:uiPriority w:val="0"/>
    <w:pPr>
      <w:ind w:firstLine="420"/>
    </w:pPr>
    <w:rPr>
      <w:rFonts w:eastAsia="仿宋"/>
      <w:sz w:val="24"/>
      <w:szCs w:val="20"/>
    </w:rPr>
  </w:style>
  <w:style w:type="paragraph" w:customStyle="1" w:styleId="23">
    <w:name w:val="Table Paragraph"/>
    <w:basedOn w:val="1"/>
    <w:qFormat/>
    <w:uiPriority w:val="1"/>
    <w:rPr>
      <w:rFonts w:ascii="新宋体" w:hAnsi="新宋体" w:eastAsia="新宋体" w:cs="新宋体"/>
      <w:lang w:val="zh-CN" w:bidi="zh-CN"/>
    </w:rPr>
  </w:style>
  <w:style w:type="paragraph" w:customStyle="1" w:styleId="24">
    <w:name w:val="列出段落1"/>
    <w:basedOn w:val="1"/>
    <w:qFormat/>
    <w:uiPriority w:val="0"/>
    <w:pPr>
      <w:ind w:firstLine="420" w:firstLineChars="200"/>
    </w:pPr>
    <w:rPr>
      <w:rFonts w:ascii="Tahoma" w:hAnsi="Tahoma" w:cs="Tahoma"/>
      <w:kern w:val="0"/>
      <w:sz w:val="20"/>
      <w:szCs w:val="20"/>
    </w:rPr>
  </w:style>
  <w:style w:type="paragraph" w:customStyle="1" w:styleId="25">
    <w:name w:val="List Paragraph1"/>
    <w:basedOn w:val="1"/>
    <w:qFormat/>
    <w:uiPriority w:val="0"/>
    <w:pPr>
      <w:ind w:firstLine="420" w:firstLineChars="200"/>
    </w:pPr>
    <w:rPr>
      <w:rFonts w:ascii="Tahoma" w:hAnsi="Tahoma" w:cs="Tahoma"/>
      <w:kern w:val="0"/>
      <w:sz w:val="20"/>
      <w:szCs w:val="20"/>
    </w:rPr>
  </w:style>
  <w:style w:type="paragraph" w:customStyle="1" w:styleId="26">
    <w:name w:val="List Paragraph2"/>
    <w:basedOn w:val="1"/>
    <w:qFormat/>
    <w:uiPriority w:val="0"/>
    <w:pPr>
      <w:ind w:firstLine="420" w:firstLineChars="200"/>
    </w:pPr>
    <w:rPr>
      <w:szCs w:val="21"/>
    </w:rPr>
  </w:style>
  <w:style w:type="paragraph" w:customStyle="1" w:styleId="27">
    <w:name w:val="列表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3419</Words>
  <Characters>3541</Characters>
  <Lines>3</Lines>
  <Paragraphs>1</Paragraphs>
  <TotalTime>0</TotalTime>
  <ScaleCrop>false</ScaleCrop>
  <LinksUpToDate>false</LinksUpToDate>
  <CharactersWithSpaces>3566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2024-07-02T06:18:00Z</dcterms:created>
  <dc:creator>Office365</dc:creator>
  <cp:lastModifiedBy>558723</cp:lastModifiedBy>
  <dcterms:modified xsi:type="dcterms:W3CDTF">2024-08-08T09:11:10Z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otCYQxs9Dbw2bUEn/Soxv9pYAoWsCRIsU8+gIbxzzmNcJN13+qHIPyWmbF9hFzPHyi2m8DLwi54E5OVVM5pJ0yGmgAiYTaR6oYUdYZxdjep6I9xviFUFZ9aTScfBW9OGBuKtCMU8Y2lGnN4iQE0T5LzWjiQWbcL1x52B3J61DiWh4ig5i5ssc8rfPzzNsSSbtAu/vWqouhmc7Zwsa+BNOjwDSZgzJ/UxufYbs/2f/NxAmnq7hvtUSz04n3bVQHE</vt:lpwstr>
  </property>
  <property fmtid="{D5CDD505-2E9C-101B-9397-08002B2CF9AE}" pid="3" name="KSOProductBuildVer">
    <vt:lpwstr>2052-12.1.0.17133</vt:lpwstr>
  </property>
  <property fmtid="{D5CDD505-2E9C-101B-9397-08002B2CF9AE}" pid="4" name="ICV">
    <vt:lpwstr>44CCC08E4FBF43C5B2688493399D2F41_13</vt:lpwstr>
  </property>
</Properties>
</file>