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35BE90" w14:textId="0EC21B4E" w:rsidR="00FC3AF4" w:rsidRPr="006304C3" w:rsidRDefault="006304C3" w:rsidP="006304C3">
      <w:pPr>
        <w:jc w:val="center"/>
        <w:rPr>
          <w:b/>
          <w:bCs/>
          <w:sz w:val="44"/>
          <w:szCs w:val="44"/>
        </w:rPr>
      </w:pPr>
      <w:r w:rsidRPr="006304C3">
        <w:rPr>
          <w:b/>
          <w:bCs/>
          <w:sz w:val="44"/>
          <w:szCs w:val="44"/>
        </w:rPr>
        <w:t>采购需求</w:t>
      </w:r>
    </w:p>
    <w:p w14:paraId="5FCB5469"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一、项目概况：</w:t>
      </w:r>
    </w:p>
    <w:p w14:paraId="16721EB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w:t>
      </w:r>
      <w:r>
        <w:rPr>
          <w:rFonts w:ascii="宋体" w:eastAsia="宋体" w:hAnsi="宋体"/>
          <w:szCs w:val="21"/>
        </w:rPr>
        <w:t>.</w:t>
      </w:r>
      <w:r>
        <w:rPr>
          <w:rFonts w:ascii="宋体" w:eastAsia="宋体" w:hAnsi="宋体" w:hint="eastAsia"/>
          <w:szCs w:val="21"/>
        </w:rPr>
        <w:t>项目建设地点及规模</w:t>
      </w:r>
    </w:p>
    <w:p w14:paraId="3310C21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根据实地调查，《2024 年增城区森林质量优化提升工程(大封门林场大径级森林培育)》建设面积为 5164.5 亩，建设地点位于增城区派潭镇大封门林场内，数据详见表 1-1。</w:t>
      </w:r>
    </w:p>
    <w:p w14:paraId="24F20ED9"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1-1 建设面积</w:t>
      </w:r>
    </w:p>
    <w:tbl>
      <w:tblPr>
        <w:tblStyle w:val="a7"/>
        <w:tblW w:w="0" w:type="auto"/>
        <w:jc w:val="center"/>
        <w:tblLook w:val="04A0" w:firstRow="1" w:lastRow="0" w:firstColumn="1" w:lastColumn="0" w:noHBand="0" w:noVBand="1"/>
      </w:tblPr>
      <w:tblGrid>
        <w:gridCol w:w="2732"/>
        <w:gridCol w:w="1704"/>
        <w:gridCol w:w="1705"/>
        <w:gridCol w:w="1705"/>
      </w:tblGrid>
      <w:tr w:rsidR="006304C3" w14:paraId="16B97504" w14:textId="77777777" w:rsidTr="003E2D5A">
        <w:trPr>
          <w:jc w:val="center"/>
        </w:trPr>
        <w:tc>
          <w:tcPr>
            <w:tcW w:w="2732" w:type="dxa"/>
            <w:vAlign w:val="center"/>
          </w:tcPr>
          <w:p w14:paraId="75305A4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工程</w:t>
            </w:r>
          </w:p>
        </w:tc>
        <w:tc>
          <w:tcPr>
            <w:tcW w:w="1704" w:type="dxa"/>
            <w:vAlign w:val="center"/>
          </w:tcPr>
          <w:p w14:paraId="5B04E9A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地点</w:t>
            </w:r>
          </w:p>
        </w:tc>
        <w:tc>
          <w:tcPr>
            <w:tcW w:w="1705" w:type="dxa"/>
            <w:vAlign w:val="center"/>
          </w:tcPr>
          <w:p w14:paraId="66858A8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任务量（亩）</w:t>
            </w:r>
          </w:p>
        </w:tc>
        <w:tc>
          <w:tcPr>
            <w:tcW w:w="1705" w:type="dxa"/>
            <w:vAlign w:val="center"/>
          </w:tcPr>
          <w:p w14:paraId="2C215B5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比例（%）</w:t>
            </w:r>
          </w:p>
        </w:tc>
      </w:tr>
      <w:tr w:rsidR="006304C3" w14:paraId="445D5EE7" w14:textId="77777777" w:rsidTr="003E2D5A">
        <w:trPr>
          <w:jc w:val="center"/>
        </w:trPr>
        <w:tc>
          <w:tcPr>
            <w:tcW w:w="2732" w:type="dxa"/>
            <w:vAlign w:val="center"/>
          </w:tcPr>
          <w:p w14:paraId="63CAE99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2024年增城区森林质量优化提升工程(大封门林场大径级森林培育)</w:t>
            </w:r>
          </w:p>
        </w:tc>
        <w:tc>
          <w:tcPr>
            <w:tcW w:w="1704" w:type="dxa"/>
            <w:vAlign w:val="center"/>
          </w:tcPr>
          <w:p w14:paraId="7A6FA56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增城区派潭镇大封门林场</w:t>
            </w:r>
          </w:p>
        </w:tc>
        <w:tc>
          <w:tcPr>
            <w:tcW w:w="1705" w:type="dxa"/>
            <w:vAlign w:val="center"/>
          </w:tcPr>
          <w:p w14:paraId="28299466" w14:textId="77777777" w:rsidR="006304C3" w:rsidRDefault="006304C3" w:rsidP="003E2D5A">
            <w:pPr>
              <w:spacing w:line="360" w:lineRule="auto"/>
              <w:jc w:val="center"/>
              <w:rPr>
                <w:rFonts w:ascii="宋体" w:eastAsia="宋体" w:hAnsi="宋体"/>
                <w:szCs w:val="21"/>
              </w:rPr>
            </w:pPr>
            <w:r>
              <w:rPr>
                <w:rFonts w:ascii="宋体" w:eastAsia="宋体" w:hAnsi="宋体"/>
                <w:szCs w:val="21"/>
              </w:rPr>
              <w:t>5164.5</w:t>
            </w:r>
          </w:p>
        </w:tc>
        <w:tc>
          <w:tcPr>
            <w:tcW w:w="1705" w:type="dxa"/>
            <w:vAlign w:val="center"/>
          </w:tcPr>
          <w:p w14:paraId="5E2ECC3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r>
              <w:rPr>
                <w:rFonts w:ascii="宋体" w:eastAsia="宋体" w:hAnsi="宋体"/>
                <w:szCs w:val="21"/>
              </w:rPr>
              <w:t>00</w:t>
            </w:r>
          </w:p>
        </w:tc>
      </w:tr>
    </w:tbl>
    <w:p w14:paraId="4D0EA69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szCs w:val="21"/>
        </w:rPr>
        <w:t>2.</w:t>
      </w:r>
      <w:r>
        <w:rPr>
          <w:rFonts w:ascii="宋体" w:eastAsia="宋体" w:hAnsi="宋体" w:hint="eastAsia"/>
          <w:szCs w:val="21"/>
        </w:rPr>
        <w:t>建设内容</w:t>
      </w:r>
    </w:p>
    <w:p w14:paraId="461A1DE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本项目主要建设内容：对近年营造的阔叶树种及其他具有大径级培育潜力的林龄为</w:t>
      </w:r>
      <w:proofErr w:type="gramStart"/>
      <w:r>
        <w:rPr>
          <w:rFonts w:ascii="宋体" w:eastAsia="宋体" w:hAnsi="宋体" w:hint="eastAsia"/>
          <w:szCs w:val="21"/>
        </w:rPr>
        <w:t>中龄或近熟及</w:t>
      </w:r>
      <w:proofErr w:type="gramEnd"/>
      <w:r>
        <w:rPr>
          <w:rFonts w:ascii="宋体" w:eastAsia="宋体" w:hAnsi="宋体" w:hint="eastAsia"/>
          <w:szCs w:val="21"/>
        </w:rPr>
        <w:t>以上的生态公益林进行抚育，促进目的树种和目标树的生长，培育大径级森林。具体包括林地清理、修枝、补植套种、抚育追肥等内容。</w:t>
      </w:r>
    </w:p>
    <w:p w14:paraId="72F9734A"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二、</w:t>
      </w:r>
      <w:r>
        <w:rPr>
          <w:rFonts w:ascii="宋体" w:eastAsia="宋体" w:hAnsi="宋体" w:hint="eastAsia"/>
          <w:sz w:val="21"/>
          <w:szCs w:val="21"/>
        </w:rPr>
        <w:t>背景概况</w:t>
      </w:r>
    </w:p>
    <w:p w14:paraId="66C8D850"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1.</w:t>
      </w:r>
      <w:r>
        <w:rPr>
          <w:rFonts w:ascii="宋体" w:eastAsia="宋体" w:hAnsi="宋体" w:hint="eastAsia"/>
          <w:b/>
          <w:bCs/>
          <w:szCs w:val="21"/>
        </w:rPr>
        <w:t>形势背景</w:t>
      </w:r>
    </w:p>
    <w:p w14:paraId="421F6DC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党的二十大报告提出，以中国式现代化全面推进中华民族伟大复兴，中国式现代化是人与自然和谐共生的现代化。为贯彻落实党中央、国务院决策部署，按照省委、省政府和市委、市政府工作要求，</w:t>
      </w:r>
      <w:proofErr w:type="gramStart"/>
      <w:r>
        <w:rPr>
          <w:rFonts w:ascii="宋体" w:eastAsia="宋体" w:hAnsi="宋体" w:hint="eastAsia"/>
          <w:szCs w:val="21"/>
        </w:rPr>
        <w:t>实施绿美增</w:t>
      </w:r>
      <w:proofErr w:type="gramEnd"/>
      <w:r>
        <w:rPr>
          <w:rFonts w:ascii="宋体" w:eastAsia="宋体" w:hAnsi="宋体" w:hint="eastAsia"/>
          <w:szCs w:val="21"/>
        </w:rPr>
        <w:t>城区行动，增进民生福祉，夯实生态基底，扎实推动绿色发展，为谱写老城市新活力、“四个出新出彩”</w:t>
      </w:r>
      <w:proofErr w:type="gramStart"/>
      <w:r>
        <w:rPr>
          <w:rFonts w:ascii="宋体" w:eastAsia="宋体" w:hAnsi="宋体" w:hint="eastAsia"/>
          <w:szCs w:val="21"/>
        </w:rPr>
        <w:t>绿美增城</w:t>
      </w:r>
      <w:proofErr w:type="gramEnd"/>
      <w:r>
        <w:rPr>
          <w:rFonts w:ascii="宋体" w:eastAsia="宋体" w:hAnsi="宋体" w:hint="eastAsia"/>
          <w:szCs w:val="21"/>
        </w:rPr>
        <w:t>新篇章，建设人与自然和谐共生的</w:t>
      </w:r>
      <w:proofErr w:type="gramStart"/>
      <w:r>
        <w:rPr>
          <w:rFonts w:ascii="宋体" w:eastAsia="宋体" w:hAnsi="宋体" w:hint="eastAsia"/>
          <w:szCs w:val="21"/>
        </w:rPr>
        <w:t>现代化绿美增城</w:t>
      </w:r>
      <w:proofErr w:type="gramEnd"/>
      <w:r>
        <w:rPr>
          <w:rFonts w:ascii="宋体" w:eastAsia="宋体" w:hAnsi="宋体" w:hint="eastAsia"/>
          <w:szCs w:val="21"/>
        </w:rPr>
        <w:t>样板，让生态文明思想落地见效。</w:t>
      </w:r>
    </w:p>
    <w:p w14:paraId="4AC3104F"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2.</w:t>
      </w:r>
      <w:r>
        <w:rPr>
          <w:rFonts w:ascii="宋体" w:eastAsia="宋体" w:hAnsi="宋体" w:hint="eastAsia"/>
          <w:b/>
          <w:bCs/>
          <w:szCs w:val="21"/>
        </w:rPr>
        <w:t>区域背景</w:t>
      </w:r>
    </w:p>
    <w:p w14:paraId="3855763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增城区大封门国有林场位于增城区北部派潭镇内，北回归线穿越其中，东</w:t>
      </w:r>
      <w:proofErr w:type="gramStart"/>
      <w:r>
        <w:rPr>
          <w:rFonts w:ascii="宋体" w:eastAsia="宋体" w:hAnsi="宋体" w:hint="eastAsia"/>
          <w:szCs w:val="21"/>
        </w:rPr>
        <w:t>接龙门县</w:t>
      </w:r>
      <w:proofErr w:type="gramEnd"/>
      <w:r>
        <w:rPr>
          <w:rFonts w:ascii="宋体" w:eastAsia="宋体" w:hAnsi="宋体" w:hint="eastAsia"/>
          <w:szCs w:val="21"/>
        </w:rPr>
        <w:t>永汉镇，西邻从化市石门国家级森林公园，</w:t>
      </w:r>
      <w:proofErr w:type="gramStart"/>
      <w:r>
        <w:rPr>
          <w:rFonts w:ascii="宋体" w:eastAsia="宋体" w:hAnsi="宋体" w:hint="eastAsia"/>
          <w:szCs w:val="21"/>
        </w:rPr>
        <w:t>南靠派潭</w:t>
      </w:r>
      <w:proofErr w:type="gramEnd"/>
      <w:r>
        <w:rPr>
          <w:rFonts w:ascii="宋体" w:eastAsia="宋体" w:hAnsi="宋体" w:hint="eastAsia"/>
          <w:szCs w:val="21"/>
        </w:rPr>
        <w:t>镇，</w:t>
      </w:r>
      <w:proofErr w:type="gramStart"/>
      <w:r>
        <w:rPr>
          <w:rFonts w:ascii="宋体" w:eastAsia="宋体" w:hAnsi="宋体" w:hint="eastAsia"/>
          <w:szCs w:val="21"/>
        </w:rPr>
        <w:t>北承龙门</w:t>
      </w:r>
      <w:proofErr w:type="gramEnd"/>
      <w:r>
        <w:rPr>
          <w:rFonts w:ascii="宋体" w:eastAsia="宋体" w:hAnsi="宋体" w:hint="eastAsia"/>
          <w:szCs w:val="21"/>
        </w:rPr>
        <w:t>县南昆山国家森林公园，是从化、龙门、增城三县（区）的交汇点，距广州市 70 公里。1983 年增城县人民政府为了搞好大封门水库周围封山育林工作，发展水源林，以林蓄水，以水保电，以电养林，同意创办大封门国营林场，属全民所有制单位，归县林业局领导。</w:t>
      </w:r>
      <w:proofErr w:type="gramStart"/>
      <w:r>
        <w:rPr>
          <w:rFonts w:ascii="宋体" w:eastAsia="宋体" w:hAnsi="宋体" w:hint="eastAsia"/>
          <w:szCs w:val="21"/>
        </w:rPr>
        <w:t>林场初</w:t>
      </w:r>
      <w:proofErr w:type="gramEnd"/>
      <w:r>
        <w:rPr>
          <w:rFonts w:ascii="宋体" w:eastAsia="宋体" w:hAnsi="宋体" w:hint="eastAsia"/>
          <w:szCs w:val="21"/>
        </w:rPr>
        <w:t xml:space="preserve">成立时面积 36000 亩，当时的经营方针是：水源林为主，用材林和经济林相结合，充分利用林场资源，开展多种经营，增加经济收入。2000 年 10 月经广州市林业局批准建立大封门森林公园，批建面积 4.8 万亩，现有林业用地 4.8 万亩，蓄积 29 </w:t>
      </w:r>
      <w:proofErr w:type="gramStart"/>
      <w:r>
        <w:rPr>
          <w:rFonts w:ascii="宋体" w:eastAsia="宋体" w:hAnsi="宋体" w:hint="eastAsia"/>
          <w:szCs w:val="21"/>
        </w:rPr>
        <w:t>万立方米</w:t>
      </w:r>
      <w:proofErr w:type="gramEnd"/>
      <w:r>
        <w:rPr>
          <w:rFonts w:ascii="宋体" w:eastAsia="宋体" w:hAnsi="宋体" w:hint="eastAsia"/>
          <w:szCs w:val="21"/>
        </w:rPr>
        <w:t>，森林覆盖率达 94.3%。</w:t>
      </w:r>
    </w:p>
    <w:p w14:paraId="41A451A7"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3.</w:t>
      </w:r>
      <w:r>
        <w:rPr>
          <w:rFonts w:ascii="宋体" w:eastAsia="宋体" w:hAnsi="宋体" w:hint="eastAsia"/>
          <w:b/>
          <w:bCs/>
          <w:szCs w:val="21"/>
        </w:rPr>
        <w:t>工作背景</w:t>
      </w:r>
    </w:p>
    <w:p w14:paraId="57DD465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增城区为全面落实《中共广东省委关于深入推进绿美广东生态建设的决定》的文件要求，扎实</w:t>
      </w:r>
      <w:proofErr w:type="gramStart"/>
      <w:r>
        <w:rPr>
          <w:rFonts w:ascii="宋体" w:eastAsia="宋体" w:hAnsi="宋体" w:hint="eastAsia"/>
          <w:szCs w:val="21"/>
        </w:rPr>
        <w:t>推进绿美广州</w:t>
      </w:r>
      <w:proofErr w:type="gramEnd"/>
      <w:r>
        <w:rPr>
          <w:rFonts w:ascii="宋体" w:eastAsia="宋体" w:hAnsi="宋体" w:hint="eastAsia"/>
          <w:szCs w:val="21"/>
        </w:rPr>
        <w:t xml:space="preserve">生态建设，根据《广州市贯彻落实&lt;中共广东省委关于深入推进绿美广东生态建设的决定&gt;的行动方案》、《绿美广州五年行动计划（2023-2027 年）》和《绿美增城区五年行动计划（2023-2027 </w:t>
      </w:r>
      <w:r>
        <w:rPr>
          <w:rFonts w:ascii="宋体" w:eastAsia="宋体" w:hAnsi="宋体" w:hint="eastAsia"/>
          <w:szCs w:val="21"/>
        </w:rPr>
        <w:lastRenderedPageBreak/>
        <w:t>年）》等文件，进行《2024年增城区森林质量优化提升工程作业设计》。</w:t>
      </w:r>
    </w:p>
    <w:p w14:paraId="5EDF5250"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4.</w:t>
      </w:r>
      <w:r>
        <w:rPr>
          <w:rFonts w:ascii="宋体" w:eastAsia="宋体" w:hAnsi="宋体" w:hint="eastAsia"/>
          <w:b/>
          <w:bCs/>
          <w:szCs w:val="21"/>
        </w:rPr>
        <w:t>自然概况</w:t>
      </w:r>
    </w:p>
    <w:p w14:paraId="3865AC71"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增城区是广州市市辖区，位于广东省中东部、广州市东部,东江下游北岸，罗浮山西面；东与惠州市接壤，南与东莞市隔江相望，西与黄埔区毗邻，北与从化区和龙门县接界。面积 1616.47 平方公里，下辖 7 </w:t>
      </w:r>
      <w:proofErr w:type="gramStart"/>
      <w:r>
        <w:rPr>
          <w:rFonts w:ascii="宋体" w:eastAsia="宋体" w:hAnsi="宋体" w:hint="eastAsia"/>
          <w:szCs w:val="21"/>
        </w:rPr>
        <w:t>个</w:t>
      </w:r>
      <w:proofErr w:type="gramEnd"/>
      <w:r>
        <w:rPr>
          <w:rFonts w:ascii="宋体" w:eastAsia="宋体" w:hAnsi="宋体" w:hint="eastAsia"/>
          <w:szCs w:val="21"/>
        </w:rPr>
        <w:t xml:space="preserve">镇 6 </w:t>
      </w:r>
      <w:proofErr w:type="gramStart"/>
      <w:r>
        <w:rPr>
          <w:rFonts w:ascii="宋体" w:eastAsia="宋体" w:hAnsi="宋体" w:hint="eastAsia"/>
          <w:szCs w:val="21"/>
        </w:rPr>
        <w:t>个</w:t>
      </w:r>
      <w:proofErr w:type="gramEnd"/>
      <w:r>
        <w:rPr>
          <w:rFonts w:ascii="宋体" w:eastAsia="宋体" w:hAnsi="宋体" w:hint="eastAsia"/>
          <w:szCs w:val="21"/>
        </w:rPr>
        <w:t xml:space="preserve">街道，285 </w:t>
      </w:r>
      <w:proofErr w:type="gramStart"/>
      <w:r>
        <w:rPr>
          <w:rFonts w:ascii="宋体" w:eastAsia="宋体" w:hAnsi="宋体" w:hint="eastAsia"/>
          <w:szCs w:val="21"/>
        </w:rPr>
        <w:t>个</w:t>
      </w:r>
      <w:proofErr w:type="gramEnd"/>
      <w:r>
        <w:rPr>
          <w:rFonts w:ascii="宋体" w:eastAsia="宋体" w:hAnsi="宋体" w:hint="eastAsia"/>
          <w:szCs w:val="21"/>
        </w:rPr>
        <w:t xml:space="preserve">行政村和 81 </w:t>
      </w:r>
      <w:proofErr w:type="gramStart"/>
      <w:r>
        <w:rPr>
          <w:rFonts w:ascii="宋体" w:eastAsia="宋体" w:hAnsi="宋体" w:hint="eastAsia"/>
          <w:szCs w:val="21"/>
        </w:rPr>
        <w:t>个</w:t>
      </w:r>
      <w:proofErr w:type="gramEnd"/>
      <w:r>
        <w:rPr>
          <w:rFonts w:ascii="宋体" w:eastAsia="宋体" w:hAnsi="宋体" w:hint="eastAsia"/>
          <w:szCs w:val="21"/>
        </w:rPr>
        <w:t>居委会，常住人口146.63 万人。拥有一个国家级经济技术开发区,以及全国第五个国家级侨商产业聚集区“侨梦苑”，是全国城乡融合发展试验区，全国著名的荔枝之乡、丝苗米之乡、牛仔服装名城、新兴的汽车产业基地和生态旅游示范区。</w:t>
      </w:r>
    </w:p>
    <w:p w14:paraId="2F953BAD" w14:textId="77777777" w:rsidR="006304C3" w:rsidRDefault="006304C3" w:rsidP="006304C3">
      <w:pPr>
        <w:spacing w:line="360" w:lineRule="auto"/>
        <w:ind w:firstLineChars="200" w:firstLine="422"/>
        <w:rPr>
          <w:rFonts w:ascii="宋体" w:eastAsia="宋体" w:hAnsi="宋体"/>
          <w:szCs w:val="21"/>
        </w:rPr>
      </w:pPr>
      <w:r>
        <w:rPr>
          <w:rFonts w:ascii="宋体" w:eastAsia="宋体" w:hAnsi="宋体"/>
          <w:b/>
          <w:bCs/>
          <w:szCs w:val="21"/>
        </w:rPr>
        <w:t>5.</w:t>
      </w:r>
      <w:r>
        <w:rPr>
          <w:rFonts w:ascii="宋体" w:eastAsia="宋体" w:hAnsi="宋体" w:hint="eastAsia"/>
          <w:b/>
          <w:bCs/>
          <w:szCs w:val="21"/>
        </w:rPr>
        <w:t>气候条件</w:t>
      </w:r>
    </w:p>
    <w:p w14:paraId="0B1F206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增城地处南亚热带，其气候属南亚热带典型的季风海洋气候，温暖、多雨、湿润，夏长冬短，夏季长达半年之久，四季气候可概括为：夏少酷热，冬无冰雪，春常阴雨，秋高气爽。增城年平均气温 22.1℃，历年极端最高气温 38.6℃，极端最低气温-1.9℃。雨量充沛，分布不均，年平均降雨量 2039.5 毫米，其中汛期(4-10 月)降雨量 1699.6 毫米;占全年降雨量的 80%以上。年平均相对湿度 78.8%，最小相对湿度 24%。全年日照 1715.4 小时，年平均风速 2.1 米/秒，最多风向为 NNW 风。最主要的气象灾害有寒潮、干旱、台风、大风、雷电、高温、暴雨、大雾。</w:t>
      </w:r>
    </w:p>
    <w:p w14:paraId="442B1757"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6.</w:t>
      </w:r>
      <w:r>
        <w:rPr>
          <w:rFonts w:ascii="宋体" w:eastAsia="宋体" w:hAnsi="宋体" w:hint="eastAsia"/>
          <w:b/>
          <w:bCs/>
          <w:szCs w:val="21"/>
        </w:rPr>
        <w:t>地貌概况</w:t>
      </w:r>
    </w:p>
    <w:p w14:paraId="442B2B1D"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增城区北部地势较高，南部较低，山地以低山为主，</w:t>
      </w:r>
      <w:proofErr w:type="gramStart"/>
      <w:r>
        <w:rPr>
          <w:rFonts w:ascii="宋体" w:eastAsia="宋体" w:hAnsi="宋体" w:hint="eastAsia"/>
          <w:szCs w:val="21"/>
        </w:rPr>
        <w:t>占增城区</w:t>
      </w:r>
      <w:proofErr w:type="gramEnd"/>
      <w:r>
        <w:rPr>
          <w:rFonts w:ascii="宋体" w:eastAsia="宋体" w:hAnsi="宋体" w:hint="eastAsia"/>
          <w:szCs w:val="21"/>
        </w:rPr>
        <w:t>面积 8.3%，是九连山脉的延长部分，山脉呈东北与南西走向，平等排列的中山与低山，其间形成了东江与增江。丘陵地主要分布在中南部，</w:t>
      </w:r>
      <w:proofErr w:type="gramStart"/>
      <w:r>
        <w:rPr>
          <w:rFonts w:ascii="宋体" w:eastAsia="宋体" w:hAnsi="宋体" w:hint="eastAsia"/>
          <w:szCs w:val="21"/>
        </w:rPr>
        <w:t>占增城区</w:t>
      </w:r>
      <w:proofErr w:type="gramEnd"/>
      <w:r>
        <w:rPr>
          <w:rFonts w:ascii="宋体" w:eastAsia="宋体" w:hAnsi="宋体" w:hint="eastAsia"/>
          <w:szCs w:val="21"/>
        </w:rPr>
        <w:t>面积的 35.1%。台地多在中南部，</w:t>
      </w:r>
      <w:proofErr w:type="gramStart"/>
      <w:r>
        <w:rPr>
          <w:rFonts w:ascii="宋体" w:eastAsia="宋体" w:hAnsi="宋体" w:hint="eastAsia"/>
          <w:szCs w:val="21"/>
        </w:rPr>
        <w:t>占增城区</w:t>
      </w:r>
      <w:proofErr w:type="gramEnd"/>
      <w:r>
        <w:rPr>
          <w:rFonts w:ascii="宋体" w:eastAsia="宋体" w:hAnsi="宋体" w:hint="eastAsia"/>
          <w:szCs w:val="21"/>
        </w:rPr>
        <w:t>面积23.2%。南部是三角洲平原，加上河谷平原，</w:t>
      </w:r>
      <w:proofErr w:type="gramStart"/>
      <w:r>
        <w:rPr>
          <w:rFonts w:ascii="宋体" w:eastAsia="宋体" w:hAnsi="宋体" w:hint="eastAsia"/>
          <w:szCs w:val="21"/>
        </w:rPr>
        <w:t>占增城区</w:t>
      </w:r>
      <w:proofErr w:type="gramEnd"/>
      <w:r>
        <w:rPr>
          <w:rFonts w:ascii="宋体" w:eastAsia="宋体" w:hAnsi="宋体" w:hint="eastAsia"/>
          <w:szCs w:val="21"/>
        </w:rPr>
        <w:t>面积的35.4%。</w:t>
      </w:r>
    </w:p>
    <w:p w14:paraId="4721CE74"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7.</w:t>
      </w:r>
      <w:r>
        <w:rPr>
          <w:rFonts w:ascii="宋体" w:eastAsia="宋体" w:hAnsi="宋体" w:hint="eastAsia"/>
          <w:b/>
          <w:bCs/>
          <w:szCs w:val="21"/>
        </w:rPr>
        <w:t>土壤概况</w:t>
      </w:r>
    </w:p>
    <w:p w14:paraId="76FA069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大封门森林公园土壤主要为赤红壤以及黄壤。土壤条件良好，温湿疏松。由于地质地貌变化原因，公园内的土壤也随着</w:t>
      </w:r>
      <w:proofErr w:type="gramStart"/>
      <w:r>
        <w:rPr>
          <w:rFonts w:ascii="宋体" w:eastAsia="宋体" w:hAnsi="宋体" w:hint="eastAsia"/>
          <w:szCs w:val="21"/>
        </w:rPr>
        <w:t>海拨</w:t>
      </w:r>
      <w:proofErr w:type="gramEnd"/>
      <w:r>
        <w:rPr>
          <w:rFonts w:ascii="宋体" w:eastAsia="宋体" w:hAnsi="宋体" w:hint="eastAsia"/>
          <w:szCs w:val="21"/>
        </w:rPr>
        <w:t>不同分布着山地红壤、山地赤红壤、山地黄壤等三个大类。在</w:t>
      </w:r>
      <w:proofErr w:type="gramStart"/>
      <w:r>
        <w:rPr>
          <w:rFonts w:ascii="宋体" w:eastAsia="宋体" w:hAnsi="宋体" w:hint="eastAsia"/>
          <w:szCs w:val="21"/>
        </w:rPr>
        <w:t>海拨</w:t>
      </w:r>
      <w:proofErr w:type="gramEnd"/>
      <w:r>
        <w:rPr>
          <w:rFonts w:ascii="宋体" w:eastAsia="宋体" w:hAnsi="宋体" w:hint="eastAsia"/>
          <w:szCs w:val="21"/>
        </w:rPr>
        <w:t xml:space="preserve"> 400米以下的低山、丘陵地区主要分布着赤红壤；在</w:t>
      </w:r>
      <w:proofErr w:type="gramStart"/>
      <w:r>
        <w:rPr>
          <w:rFonts w:ascii="宋体" w:eastAsia="宋体" w:hAnsi="宋体" w:hint="eastAsia"/>
          <w:szCs w:val="21"/>
        </w:rPr>
        <w:t>海拨</w:t>
      </w:r>
      <w:proofErr w:type="gramEnd"/>
      <w:r>
        <w:rPr>
          <w:rFonts w:ascii="宋体" w:eastAsia="宋体" w:hAnsi="宋体" w:hint="eastAsia"/>
          <w:szCs w:val="21"/>
        </w:rPr>
        <w:t xml:space="preserve"> 400—800 米的低山地区分布着红壤；在</w:t>
      </w:r>
      <w:proofErr w:type="gramStart"/>
      <w:r>
        <w:rPr>
          <w:rFonts w:ascii="宋体" w:eastAsia="宋体" w:hAnsi="宋体" w:hint="eastAsia"/>
          <w:szCs w:val="21"/>
        </w:rPr>
        <w:t>海拨</w:t>
      </w:r>
      <w:proofErr w:type="gramEnd"/>
      <w:r>
        <w:rPr>
          <w:rFonts w:ascii="宋体" w:eastAsia="宋体" w:hAnsi="宋体" w:hint="eastAsia"/>
          <w:szCs w:val="21"/>
        </w:rPr>
        <w:t xml:space="preserve"> 800 以上的山地分布着黄壤，由于雨多雾大，淋溶作用强，心土形成大量的黄色水化氧化铁，故土壤呈黄色，土层厚度在 40~70 厘米之间，母岩以花岗岩为主。</w:t>
      </w:r>
    </w:p>
    <w:p w14:paraId="70DBAF83" w14:textId="77777777" w:rsidR="006304C3" w:rsidRDefault="006304C3" w:rsidP="006304C3">
      <w:pPr>
        <w:spacing w:line="360" w:lineRule="auto"/>
        <w:ind w:firstLineChars="200" w:firstLine="422"/>
        <w:rPr>
          <w:rFonts w:ascii="宋体" w:eastAsia="宋体" w:hAnsi="宋体"/>
          <w:szCs w:val="21"/>
        </w:rPr>
      </w:pPr>
      <w:r>
        <w:rPr>
          <w:rFonts w:ascii="宋体" w:eastAsia="宋体" w:hAnsi="宋体"/>
          <w:b/>
          <w:bCs/>
          <w:szCs w:val="21"/>
        </w:rPr>
        <w:t>8.</w:t>
      </w:r>
      <w:r>
        <w:rPr>
          <w:rFonts w:ascii="宋体" w:eastAsia="宋体" w:hAnsi="宋体" w:hint="eastAsia"/>
          <w:b/>
          <w:bCs/>
          <w:szCs w:val="21"/>
        </w:rPr>
        <w:t>水文概况</w:t>
      </w:r>
    </w:p>
    <w:p w14:paraId="36E91AB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森林公园的地下水位较浅，水量较丰富，多为</w:t>
      </w:r>
      <w:proofErr w:type="gramStart"/>
      <w:r>
        <w:rPr>
          <w:rFonts w:ascii="宋体" w:eastAsia="宋体" w:hAnsi="宋体" w:hint="eastAsia"/>
          <w:szCs w:val="21"/>
        </w:rPr>
        <w:t>块状岩类裂隙水</w:t>
      </w:r>
      <w:proofErr w:type="gramEnd"/>
      <w:r>
        <w:rPr>
          <w:rFonts w:ascii="宋体" w:eastAsia="宋体" w:hAnsi="宋体" w:hint="eastAsia"/>
          <w:szCs w:val="21"/>
        </w:rPr>
        <w:t>，含水层为侏罗纪火山岩及燕山期花岗岩，地下径流模数为 6~10 升/秒·km2，年内和年际径流量变化都较大。地下水一般深为 2—4 米。大封门森林公园的主要河流为派潭河。</w:t>
      </w:r>
      <w:proofErr w:type="gramStart"/>
      <w:r>
        <w:rPr>
          <w:rFonts w:ascii="宋体" w:eastAsia="宋体" w:hAnsi="宋体" w:hint="eastAsia"/>
          <w:szCs w:val="21"/>
        </w:rPr>
        <w:t>派潭河发源</w:t>
      </w:r>
      <w:proofErr w:type="gramEnd"/>
      <w:r>
        <w:rPr>
          <w:rFonts w:ascii="宋体" w:eastAsia="宋体" w:hAnsi="宋体" w:hint="eastAsia"/>
          <w:szCs w:val="21"/>
        </w:rPr>
        <w:t>于南</w:t>
      </w:r>
      <w:proofErr w:type="gramStart"/>
      <w:r>
        <w:rPr>
          <w:rFonts w:ascii="宋体" w:eastAsia="宋体" w:hAnsi="宋体" w:hint="eastAsia"/>
          <w:szCs w:val="21"/>
        </w:rPr>
        <w:t>昆山马坑</w:t>
      </w:r>
      <w:proofErr w:type="gramEnd"/>
      <w:r>
        <w:rPr>
          <w:rFonts w:ascii="宋体" w:eastAsia="宋体" w:hAnsi="宋体" w:hint="eastAsia"/>
          <w:szCs w:val="21"/>
        </w:rPr>
        <w:t>嶂，由高滩水、灵山水、高</w:t>
      </w:r>
      <w:proofErr w:type="gramStart"/>
      <w:r>
        <w:rPr>
          <w:rFonts w:ascii="宋体" w:eastAsia="宋体" w:hAnsi="宋体" w:hint="eastAsia"/>
          <w:szCs w:val="21"/>
        </w:rPr>
        <w:t>埔</w:t>
      </w:r>
      <w:proofErr w:type="gramEnd"/>
      <w:r>
        <w:rPr>
          <w:rFonts w:ascii="宋体" w:eastAsia="宋体" w:hAnsi="宋体" w:hint="eastAsia"/>
          <w:szCs w:val="21"/>
        </w:rPr>
        <w:t>水、</w:t>
      </w:r>
      <w:proofErr w:type="gramStart"/>
      <w:r>
        <w:rPr>
          <w:rFonts w:ascii="宋体" w:eastAsia="宋体" w:hAnsi="宋体" w:hint="eastAsia"/>
          <w:szCs w:val="21"/>
        </w:rPr>
        <w:t>车洞水</w:t>
      </w:r>
      <w:proofErr w:type="gramEnd"/>
      <w:r>
        <w:rPr>
          <w:rFonts w:ascii="宋体" w:eastAsia="宋体" w:hAnsi="宋体" w:hint="eastAsia"/>
          <w:szCs w:val="21"/>
        </w:rPr>
        <w:t>和小</w:t>
      </w:r>
      <w:proofErr w:type="gramStart"/>
      <w:r>
        <w:rPr>
          <w:rFonts w:ascii="宋体" w:eastAsia="宋体" w:hAnsi="宋体" w:hint="eastAsia"/>
          <w:szCs w:val="21"/>
        </w:rPr>
        <w:t>迳</w:t>
      </w:r>
      <w:proofErr w:type="gramEnd"/>
      <w:r>
        <w:rPr>
          <w:rFonts w:ascii="宋体" w:eastAsia="宋体" w:hAnsi="宋体" w:hint="eastAsia"/>
          <w:szCs w:val="21"/>
        </w:rPr>
        <w:t>水等 5 条小河组成。流经派潭圩，于小楼镇大楼山合二龙河汇入增江河长 36 公里，</w:t>
      </w:r>
      <w:proofErr w:type="gramStart"/>
      <w:r>
        <w:rPr>
          <w:rFonts w:ascii="宋体" w:eastAsia="宋体" w:hAnsi="宋体" w:hint="eastAsia"/>
          <w:szCs w:val="21"/>
        </w:rPr>
        <w:t>坡降率</w:t>
      </w:r>
      <w:proofErr w:type="gramEnd"/>
      <w:r>
        <w:rPr>
          <w:rFonts w:ascii="宋体" w:eastAsia="宋体" w:hAnsi="宋体" w:hint="eastAsia"/>
          <w:szCs w:val="21"/>
        </w:rPr>
        <w:t>为 5.5‰。</w:t>
      </w:r>
    </w:p>
    <w:p w14:paraId="27B2CE80"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9.</w:t>
      </w:r>
      <w:r>
        <w:rPr>
          <w:rFonts w:ascii="宋体" w:eastAsia="宋体" w:hAnsi="宋体" w:hint="eastAsia"/>
          <w:b/>
          <w:bCs/>
          <w:szCs w:val="21"/>
        </w:rPr>
        <w:t>森林资源状况</w:t>
      </w:r>
    </w:p>
    <w:p w14:paraId="11A8CD2F"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9.1</w:t>
      </w:r>
      <w:r>
        <w:rPr>
          <w:rFonts w:ascii="宋体" w:eastAsia="宋体" w:hAnsi="宋体" w:hint="eastAsia"/>
          <w:b/>
          <w:bCs/>
          <w:szCs w:val="21"/>
        </w:rPr>
        <w:t>植被资源</w:t>
      </w:r>
    </w:p>
    <w:p w14:paraId="13D43EE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森林公园物种资源丰富，据初步调查，植物种类有 1300 多种以上，其中树木种类 409 种，隶</w:t>
      </w:r>
      <w:r>
        <w:rPr>
          <w:rFonts w:ascii="宋体" w:eastAsia="宋体" w:hAnsi="宋体" w:hint="eastAsia"/>
          <w:szCs w:val="21"/>
        </w:rPr>
        <w:lastRenderedPageBreak/>
        <w:t xml:space="preserve">属 98 </w:t>
      </w:r>
      <w:proofErr w:type="gramStart"/>
      <w:r>
        <w:rPr>
          <w:rFonts w:ascii="宋体" w:eastAsia="宋体" w:hAnsi="宋体" w:hint="eastAsia"/>
          <w:szCs w:val="21"/>
        </w:rPr>
        <w:t>个</w:t>
      </w:r>
      <w:proofErr w:type="gramEnd"/>
      <w:r>
        <w:rPr>
          <w:rFonts w:ascii="宋体" w:eastAsia="宋体" w:hAnsi="宋体" w:hint="eastAsia"/>
          <w:szCs w:val="21"/>
        </w:rPr>
        <w:t xml:space="preserve">科，168 </w:t>
      </w:r>
      <w:proofErr w:type="gramStart"/>
      <w:r>
        <w:rPr>
          <w:rFonts w:ascii="宋体" w:eastAsia="宋体" w:hAnsi="宋体" w:hint="eastAsia"/>
          <w:szCs w:val="21"/>
        </w:rPr>
        <w:t>个</w:t>
      </w:r>
      <w:proofErr w:type="gramEnd"/>
      <w:r>
        <w:rPr>
          <w:rFonts w:ascii="宋体" w:eastAsia="宋体" w:hAnsi="宋体" w:hint="eastAsia"/>
          <w:szCs w:val="21"/>
        </w:rPr>
        <w:t>属。森林公园的地带性植被主要是山地常绿阔叶林。在海拔 500-800 米的低山分布着亚热带低山常绿阔叶林：在海拔 800-1200 米的中山分布着亚热带山地常绿阔叶林，在海拔 1000 米以上的山顶地段出现有山顶苔藓、矮林或草地。因地处北回归线上，被称为“北回归线上的绿洲”。</w:t>
      </w:r>
    </w:p>
    <w:p w14:paraId="507DA13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林场以水源林为主，用材林和经济林相结合，以乡土阔叶树种为主，70%为天然阔叶次生林，主要树种有：槁木、</w:t>
      </w:r>
      <w:proofErr w:type="gramStart"/>
      <w:r>
        <w:rPr>
          <w:rFonts w:ascii="宋体" w:eastAsia="宋体" w:hAnsi="宋体" w:hint="eastAsia"/>
          <w:szCs w:val="21"/>
        </w:rPr>
        <w:t>藜蒴</w:t>
      </w:r>
      <w:proofErr w:type="gramEnd"/>
      <w:r>
        <w:rPr>
          <w:rFonts w:ascii="宋体" w:eastAsia="宋体" w:hAnsi="宋体" w:hint="eastAsia"/>
          <w:szCs w:val="21"/>
        </w:rPr>
        <w:t>、马尾松、红椎、白椎、桐类、</w:t>
      </w:r>
      <w:proofErr w:type="gramStart"/>
      <w:r>
        <w:rPr>
          <w:rFonts w:ascii="宋体" w:eastAsia="宋体" w:hAnsi="宋体" w:hint="eastAsia"/>
          <w:szCs w:val="21"/>
        </w:rPr>
        <w:t>桢</w:t>
      </w:r>
      <w:proofErr w:type="gramEnd"/>
      <w:r>
        <w:rPr>
          <w:rFonts w:ascii="宋体" w:eastAsia="宋体" w:hAnsi="宋体" w:hint="eastAsia"/>
          <w:szCs w:val="21"/>
        </w:rPr>
        <w:t>楠、黄</w:t>
      </w:r>
      <w:proofErr w:type="gramStart"/>
      <w:r>
        <w:rPr>
          <w:rFonts w:ascii="宋体" w:eastAsia="宋体" w:hAnsi="宋体" w:hint="eastAsia"/>
          <w:szCs w:val="21"/>
        </w:rPr>
        <w:t>杞</w:t>
      </w:r>
      <w:proofErr w:type="gramEnd"/>
      <w:r>
        <w:rPr>
          <w:rFonts w:ascii="宋体" w:eastAsia="宋体" w:hAnsi="宋体" w:hint="eastAsia"/>
          <w:szCs w:val="21"/>
        </w:rPr>
        <w:t>、大叶胭脂、肉桂等。经过多年来的封山育林及多次补植、套种优良乡土阔叶树种，形成了现在林相整齐、景观优美的次生林区，并在此基础上建立森林公园。大封门森林公园内共有野生珍稀濒危植物 11 种，占广东省珍稀濒危植物总数的 13.33％，隶属于 11 科 11 属。其中蕨类植物 1 科 1 属 1 种，裸子植物 2 科 2 属 2 种，被子植物 7 科 7 属 7 种；濒危 10 种，稀有1 种。这里竹影碧绿，古木参天，蝶</w:t>
      </w:r>
      <w:proofErr w:type="gramStart"/>
      <w:r>
        <w:rPr>
          <w:rFonts w:ascii="宋体" w:eastAsia="宋体" w:hAnsi="宋体" w:hint="eastAsia"/>
          <w:szCs w:val="21"/>
        </w:rPr>
        <w:t>舞蜂飞</w:t>
      </w:r>
      <w:proofErr w:type="gramEnd"/>
      <w:r>
        <w:rPr>
          <w:rFonts w:ascii="宋体" w:eastAsia="宋体" w:hAnsi="宋体" w:hint="eastAsia"/>
          <w:szCs w:val="21"/>
        </w:rPr>
        <w:t>鸟语花香。春夏群山云雾缥缈，秋冬植物色彩斑斓。莲座蕨、桫椤、黑桫椤、巴戟天、全佳、福建柏、长叶竹柏、八角莲、樟树、观光木、金毛狗、绣球</w:t>
      </w:r>
      <w:proofErr w:type="gramStart"/>
      <w:r>
        <w:rPr>
          <w:rFonts w:ascii="宋体" w:eastAsia="宋体" w:hAnsi="宋体" w:hint="eastAsia"/>
          <w:szCs w:val="21"/>
        </w:rPr>
        <w:t>茜</w:t>
      </w:r>
      <w:proofErr w:type="gramEnd"/>
      <w:r>
        <w:rPr>
          <w:rFonts w:ascii="宋体" w:eastAsia="宋体" w:hAnsi="宋体" w:hint="eastAsia"/>
          <w:szCs w:val="21"/>
        </w:rPr>
        <w:t>、白桂木、红椿等受国家二、三级保护植物和</w:t>
      </w:r>
      <w:proofErr w:type="gramStart"/>
      <w:r>
        <w:rPr>
          <w:rFonts w:ascii="宋体" w:eastAsia="宋体" w:hAnsi="宋体" w:hint="eastAsia"/>
          <w:szCs w:val="21"/>
        </w:rPr>
        <w:t>珍稀涉危植物</w:t>
      </w:r>
      <w:proofErr w:type="gramEnd"/>
      <w:r>
        <w:rPr>
          <w:rFonts w:ascii="宋体" w:eastAsia="宋体" w:hAnsi="宋体" w:hint="eastAsia"/>
          <w:szCs w:val="21"/>
        </w:rPr>
        <w:t>遍布山野，国家重点保护野生植物达 7 种，占广东省国家重点保护野生植物的9.23%，</w:t>
      </w:r>
      <w:proofErr w:type="gramStart"/>
      <w:r>
        <w:rPr>
          <w:rFonts w:ascii="宋体" w:eastAsia="宋体" w:hAnsi="宋体" w:hint="eastAsia"/>
          <w:szCs w:val="21"/>
        </w:rPr>
        <w:t>珍稀涉危植物</w:t>
      </w:r>
      <w:proofErr w:type="gramEnd"/>
      <w:r>
        <w:rPr>
          <w:rFonts w:ascii="宋体" w:eastAsia="宋体" w:hAnsi="宋体" w:hint="eastAsia"/>
          <w:szCs w:val="21"/>
        </w:rPr>
        <w:t>达八种，占广东省</w:t>
      </w:r>
      <w:proofErr w:type="gramStart"/>
      <w:r>
        <w:rPr>
          <w:rFonts w:ascii="宋体" w:eastAsia="宋体" w:hAnsi="宋体" w:hint="eastAsia"/>
          <w:szCs w:val="21"/>
        </w:rPr>
        <w:t>珍稀涉危植物</w:t>
      </w:r>
      <w:proofErr w:type="gramEnd"/>
      <w:r>
        <w:rPr>
          <w:rFonts w:ascii="宋体" w:eastAsia="宋体" w:hAnsi="宋体" w:hint="eastAsia"/>
          <w:szCs w:val="21"/>
        </w:rPr>
        <w:t>的 13.33%。</w:t>
      </w:r>
    </w:p>
    <w:p w14:paraId="7E9ECCDD"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9.2</w:t>
      </w:r>
      <w:r>
        <w:rPr>
          <w:rFonts w:ascii="宋体" w:eastAsia="宋体" w:hAnsi="宋体" w:hint="eastAsia"/>
          <w:b/>
          <w:bCs/>
          <w:szCs w:val="21"/>
        </w:rPr>
        <w:t>生物资源</w:t>
      </w:r>
    </w:p>
    <w:p w14:paraId="2D262D3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大封门森林公园</w:t>
      </w:r>
      <w:proofErr w:type="gramStart"/>
      <w:r>
        <w:rPr>
          <w:rFonts w:ascii="宋体" w:eastAsia="宋体" w:hAnsi="宋体" w:hint="eastAsia"/>
          <w:szCs w:val="21"/>
        </w:rPr>
        <w:t>内动物</w:t>
      </w:r>
      <w:proofErr w:type="gramEnd"/>
      <w:r>
        <w:rPr>
          <w:rFonts w:ascii="宋体" w:eastAsia="宋体" w:hAnsi="宋体" w:hint="eastAsia"/>
          <w:szCs w:val="21"/>
        </w:rPr>
        <w:t>资源较丰富，根据初步的调查，森林公园主要的陆栖脊椎动物有 24 目 61 科 8 种，其中两栖纲 2 目 6 科 18种，爬行纲 2 目 10 种 33 种，鸟纲 13 目 29 科 69 种，哺乳纲 7 目16 科 38 种。属于国家级保护动物的有 8 科 11 种，主要包括哺乳类、大灵猫、鸟类和爬行类。其中，国家一级保护动物有蟒蛇等：二级保护动物地龟、水漱、白鹇、揭翅</w:t>
      </w:r>
      <w:proofErr w:type="gramStart"/>
      <w:r>
        <w:rPr>
          <w:rFonts w:ascii="宋体" w:eastAsia="宋体" w:hAnsi="宋体" w:hint="eastAsia"/>
          <w:szCs w:val="21"/>
        </w:rPr>
        <w:t>鸦鹃</w:t>
      </w:r>
      <w:proofErr w:type="gramEnd"/>
      <w:r>
        <w:rPr>
          <w:rFonts w:ascii="宋体" w:eastAsia="宋体" w:hAnsi="宋体" w:hint="eastAsia"/>
          <w:szCs w:val="21"/>
        </w:rPr>
        <w:t>和小</w:t>
      </w:r>
      <w:proofErr w:type="gramStart"/>
      <w:r>
        <w:rPr>
          <w:rFonts w:ascii="宋体" w:eastAsia="宋体" w:hAnsi="宋体" w:hint="eastAsia"/>
          <w:szCs w:val="21"/>
        </w:rPr>
        <w:t>鸦鹃</w:t>
      </w:r>
      <w:proofErr w:type="gramEnd"/>
      <w:r>
        <w:rPr>
          <w:rFonts w:ascii="宋体" w:eastAsia="宋体" w:hAnsi="宋体" w:hint="eastAsia"/>
          <w:szCs w:val="21"/>
        </w:rPr>
        <w:t>等。</w:t>
      </w:r>
    </w:p>
    <w:p w14:paraId="2CA1D620"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10</w:t>
      </w:r>
      <w:r>
        <w:rPr>
          <w:rFonts w:ascii="宋体" w:eastAsia="宋体" w:hAnsi="宋体" w:hint="eastAsia"/>
          <w:b/>
          <w:bCs/>
          <w:szCs w:val="21"/>
        </w:rPr>
        <w:t>.指导思想</w:t>
      </w:r>
    </w:p>
    <w:p w14:paraId="57A04B1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围绕“调结构、提质量、增资源、增效益”建设目标，以建设大径级森林资源基地为抓手，高标准</w:t>
      </w:r>
      <w:proofErr w:type="gramStart"/>
      <w:r>
        <w:rPr>
          <w:rFonts w:ascii="宋体" w:eastAsia="宋体" w:hAnsi="宋体" w:hint="eastAsia"/>
          <w:szCs w:val="21"/>
        </w:rPr>
        <w:t>推进绿美广州</w:t>
      </w:r>
      <w:proofErr w:type="gramEnd"/>
      <w:r>
        <w:rPr>
          <w:rFonts w:ascii="宋体" w:eastAsia="宋体" w:hAnsi="宋体" w:hint="eastAsia"/>
          <w:szCs w:val="21"/>
        </w:rPr>
        <w:t>生态建设，加强森林资源培育，实施森林质量精准提升，优化林分结构，推动多目标经营，有效增加优质大径级森林资源和林业生态产品供给，推动林业高质量发展，为建设现代林业强省奠定坚实基础。</w:t>
      </w:r>
    </w:p>
    <w:p w14:paraId="3B6E67EF"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11.</w:t>
      </w:r>
      <w:r>
        <w:rPr>
          <w:rFonts w:ascii="宋体" w:eastAsia="宋体" w:hAnsi="宋体" w:hint="eastAsia"/>
          <w:b/>
          <w:bCs/>
          <w:szCs w:val="21"/>
        </w:rPr>
        <w:t>建设目标</w:t>
      </w:r>
    </w:p>
    <w:p w14:paraId="159611D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坚持“生态文明”和“绿水青山就是金山银山”理念，全面高效提升森林生态功能综合利用的生态效益、社会效益和间接经济效益。本项目主要建设内容：对近年营造的阔叶树种及其他具有大径级培育潜力的林龄为</w:t>
      </w:r>
      <w:proofErr w:type="gramStart"/>
      <w:r>
        <w:rPr>
          <w:rFonts w:ascii="宋体" w:eastAsia="宋体" w:hAnsi="宋体" w:hint="eastAsia"/>
          <w:szCs w:val="21"/>
        </w:rPr>
        <w:t>中龄或近熟及</w:t>
      </w:r>
      <w:proofErr w:type="gramEnd"/>
      <w:r>
        <w:rPr>
          <w:rFonts w:ascii="宋体" w:eastAsia="宋体" w:hAnsi="宋体" w:hint="eastAsia"/>
          <w:szCs w:val="21"/>
        </w:rPr>
        <w:t>以上的生态公益林进行抚育，促进目的树种和目标树的生长，优化森林结构，增加森林蓄积。根据经营目标、不同树种和林木生长情况，通过林分现状按照 3 年 6 次抚育方式精准选培，目标树和上层林木最终控制在 30-60 株/</w:t>
      </w:r>
      <w:proofErr w:type="gramStart"/>
      <w:r>
        <w:rPr>
          <w:rFonts w:ascii="宋体" w:eastAsia="宋体" w:hAnsi="宋体" w:hint="eastAsia"/>
          <w:szCs w:val="21"/>
        </w:rPr>
        <w:t>亩及以上</w:t>
      </w:r>
      <w:proofErr w:type="gramEnd"/>
      <w:r>
        <w:rPr>
          <w:rFonts w:ascii="宋体" w:eastAsia="宋体" w:hAnsi="宋体" w:hint="eastAsia"/>
          <w:szCs w:val="21"/>
        </w:rPr>
        <w:t>，为实现精准提升森林质量和后期大径级森林培育提供基础。</w:t>
      </w:r>
    </w:p>
    <w:p w14:paraId="39375307"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b/>
          <w:bCs/>
          <w:szCs w:val="21"/>
        </w:rPr>
        <w:t>12.</w:t>
      </w:r>
      <w:r>
        <w:rPr>
          <w:rFonts w:ascii="宋体" w:eastAsia="宋体" w:hAnsi="宋体" w:hint="eastAsia"/>
          <w:b/>
          <w:bCs/>
          <w:szCs w:val="21"/>
        </w:rPr>
        <w:t>项目实施意义</w:t>
      </w:r>
    </w:p>
    <w:p w14:paraId="1A78F8E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大径级森林资源是国家重要战略资源，是高质量生态产品的基础，是林业产业兴盛的依托，是</w:t>
      </w:r>
      <w:r>
        <w:rPr>
          <w:rFonts w:ascii="宋体" w:eastAsia="宋体" w:hAnsi="宋体" w:hint="eastAsia"/>
          <w:szCs w:val="21"/>
        </w:rPr>
        <w:lastRenderedPageBreak/>
        <w:t>人和自然和谐共生的载体。开展大径级森林资源培育是提高森林经营水平、精准提升森林质量的重要手段，是维护生态安全、满足人民高质量生态产品需求的重要途径，是巩固绿化成果、促进林业高质量发展的迫切需要。</w:t>
      </w:r>
    </w:p>
    <w:p w14:paraId="2DF27D95"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三、</w:t>
      </w:r>
      <w:r>
        <w:rPr>
          <w:rFonts w:ascii="宋体" w:eastAsia="宋体" w:hAnsi="宋体" w:hint="eastAsia"/>
          <w:sz w:val="21"/>
          <w:szCs w:val="21"/>
        </w:rPr>
        <w:t>林地现状调查</w:t>
      </w:r>
    </w:p>
    <w:p w14:paraId="4AC87CAB"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hint="eastAsia"/>
          <w:b/>
          <w:bCs/>
          <w:szCs w:val="21"/>
        </w:rPr>
        <w:t>1.林地选择原则</w:t>
      </w:r>
    </w:p>
    <w:p w14:paraId="0863872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大径级森林培育林地按照最新森林资源调查结果，利用地形图，选择交通便利、土层深厚、水肥条件较好、相对集中连片的地块（小班）作为培育对象。</w:t>
      </w:r>
    </w:p>
    <w:p w14:paraId="6D44FDF8"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hint="eastAsia"/>
          <w:b/>
          <w:bCs/>
          <w:szCs w:val="21"/>
        </w:rPr>
        <w:t>2.目标</w:t>
      </w:r>
      <w:proofErr w:type="gramStart"/>
      <w:r>
        <w:rPr>
          <w:rFonts w:ascii="宋体" w:eastAsia="宋体" w:hAnsi="宋体" w:hint="eastAsia"/>
          <w:b/>
          <w:bCs/>
          <w:szCs w:val="21"/>
        </w:rPr>
        <w:t>树选择</w:t>
      </w:r>
      <w:proofErr w:type="gramEnd"/>
      <w:r>
        <w:rPr>
          <w:rFonts w:ascii="宋体" w:eastAsia="宋体" w:hAnsi="宋体" w:hint="eastAsia"/>
          <w:b/>
          <w:bCs/>
          <w:szCs w:val="21"/>
        </w:rPr>
        <w:t>原则</w:t>
      </w:r>
    </w:p>
    <w:p w14:paraId="0ACFF74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目标树种的选择要符合森林规划目标要求，选择自然寿命长、综合价值高、树干通直、活力旺盛的树木为目标树。</w:t>
      </w:r>
    </w:p>
    <w:p w14:paraId="674E0CB9"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hint="eastAsia"/>
          <w:b/>
          <w:bCs/>
          <w:szCs w:val="21"/>
        </w:rPr>
        <w:t>3.调查方法</w:t>
      </w:r>
    </w:p>
    <w:p w14:paraId="384AFC4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3.1 小班区划</w:t>
      </w:r>
    </w:p>
    <w:p w14:paraId="2FBE3A2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在选中的地块中，于原二类调查所区划小班的基础上，根据小班森林资源分布状况及培育的目标树种规划培育作业小班，此次设计面积为 5164.5 亩，详见表 3-1。</w:t>
      </w:r>
    </w:p>
    <w:p w14:paraId="2FC94FF2" w14:textId="77777777" w:rsidR="006304C3" w:rsidRDefault="006304C3" w:rsidP="006304C3">
      <w:pPr>
        <w:spacing w:line="360" w:lineRule="auto"/>
        <w:ind w:firstLineChars="200" w:firstLine="420"/>
        <w:jc w:val="center"/>
        <w:rPr>
          <w:rFonts w:ascii="宋体" w:eastAsia="宋体" w:hAnsi="宋体"/>
          <w:szCs w:val="21"/>
        </w:rPr>
      </w:pPr>
      <w:r>
        <w:rPr>
          <w:rFonts w:ascii="宋体" w:eastAsia="宋体" w:hAnsi="宋体" w:hint="eastAsia"/>
          <w:szCs w:val="21"/>
        </w:rPr>
        <w:t>表 3-1 作业小班区划</w:t>
      </w:r>
    </w:p>
    <w:tbl>
      <w:tblPr>
        <w:tblStyle w:val="a7"/>
        <w:tblW w:w="0" w:type="auto"/>
        <w:tblLook w:val="04A0" w:firstRow="1" w:lastRow="0" w:firstColumn="1" w:lastColumn="0" w:noHBand="0" w:noVBand="1"/>
      </w:tblPr>
      <w:tblGrid>
        <w:gridCol w:w="2021"/>
        <w:gridCol w:w="2026"/>
        <w:gridCol w:w="2023"/>
        <w:gridCol w:w="2452"/>
      </w:tblGrid>
      <w:tr w:rsidR="006304C3" w14:paraId="6FB10CC7" w14:textId="77777777" w:rsidTr="003E2D5A">
        <w:tc>
          <w:tcPr>
            <w:tcW w:w="2021" w:type="dxa"/>
            <w:vAlign w:val="center"/>
          </w:tcPr>
          <w:p w14:paraId="590CBAB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作业小班号</w:t>
            </w:r>
          </w:p>
        </w:tc>
        <w:tc>
          <w:tcPr>
            <w:tcW w:w="2026" w:type="dxa"/>
            <w:vAlign w:val="center"/>
          </w:tcPr>
          <w:p w14:paraId="586433C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镇(街/林场)</w:t>
            </w:r>
          </w:p>
        </w:tc>
        <w:tc>
          <w:tcPr>
            <w:tcW w:w="2023" w:type="dxa"/>
            <w:vAlign w:val="center"/>
          </w:tcPr>
          <w:p w14:paraId="1724558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村/工区</w:t>
            </w:r>
          </w:p>
        </w:tc>
        <w:tc>
          <w:tcPr>
            <w:tcW w:w="2452" w:type="dxa"/>
            <w:vAlign w:val="center"/>
          </w:tcPr>
          <w:p w14:paraId="67F2FBC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地籍号</w:t>
            </w:r>
          </w:p>
        </w:tc>
      </w:tr>
      <w:tr w:rsidR="006304C3" w14:paraId="0737710A" w14:textId="77777777" w:rsidTr="003E2D5A">
        <w:tc>
          <w:tcPr>
            <w:tcW w:w="2021" w:type="dxa"/>
            <w:vAlign w:val="center"/>
          </w:tcPr>
          <w:p w14:paraId="76441D2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p>
        </w:tc>
        <w:tc>
          <w:tcPr>
            <w:tcW w:w="2026" w:type="dxa"/>
            <w:vAlign w:val="center"/>
          </w:tcPr>
          <w:p w14:paraId="2E208DA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vAlign w:val="center"/>
          </w:tcPr>
          <w:p w14:paraId="31E844E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36A8DD1D"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440183010004000100700</w:t>
            </w:r>
          </w:p>
        </w:tc>
      </w:tr>
      <w:tr w:rsidR="006304C3" w14:paraId="6CBCE58D" w14:textId="77777777" w:rsidTr="003E2D5A">
        <w:tc>
          <w:tcPr>
            <w:tcW w:w="2021" w:type="dxa"/>
            <w:vAlign w:val="center"/>
          </w:tcPr>
          <w:p w14:paraId="74F8356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2</w:t>
            </w:r>
          </w:p>
        </w:tc>
        <w:tc>
          <w:tcPr>
            <w:tcW w:w="2026" w:type="dxa"/>
          </w:tcPr>
          <w:p w14:paraId="7125365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tcPr>
          <w:p w14:paraId="3BA2689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60926F1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440183010004000100200</w:t>
            </w:r>
          </w:p>
        </w:tc>
      </w:tr>
      <w:tr w:rsidR="006304C3" w14:paraId="0543C7B9" w14:textId="77777777" w:rsidTr="003E2D5A">
        <w:tc>
          <w:tcPr>
            <w:tcW w:w="2021" w:type="dxa"/>
            <w:vAlign w:val="center"/>
          </w:tcPr>
          <w:p w14:paraId="25BF3967"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3</w:t>
            </w:r>
          </w:p>
        </w:tc>
        <w:tc>
          <w:tcPr>
            <w:tcW w:w="2026" w:type="dxa"/>
          </w:tcPr>
          <w:p w14:paraId="3409DC8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tcPr>
          <w:p w14:paraId="795E75D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37DBC5E6"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440183010004000100100</w:t>
            </w:r>
          </w:p>
        </w:tc>
      </w:tr>
      <w:tr w:rsidR="006304C3" w14:paraId="6EE7ADD0" w14:textId="77777777" w:rsidTr="003E2D5A">
        <w:tc>
          <w:tcPr>
            <w:tcW w:w="2021" w:type="dxa"/>
            <w:vAlign w:val="center"/>
          </w:tcPr>
          <w:p w14:paraId="1451BC6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4</w:t>
            </w:r>
          </w:p>
        </w:tc>
        <w:tc>
          <w:tcPr>
            <w:tcW w:w="2026" w:type="dxa"/>
          </w:tcPr>
          <w:p w14:paraId="1EB59E1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tcPr>
          <w:p w14:paraId="387F076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7C4B46CA"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440183010004000101100</w:t>
            </w:r>
          </w:p>
        </w:tc>
      </w:tr>
      <w:tr w:rsidR="006304C3" w14:paraId="217F3E18" w14:textId="77777777" w:rsidTr="003E2D5A">
        <w:tc>
          <w:tcPr>
            <w:tcW w:w="2021" w:type="dxa"/>
            <w:vAlign w:val="center"/>
          </w:tcPr>
          <w:p w14:paraId="4903FD4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5</w:t>
            </w:r>
          </w:p>
        </w:tc>
        <w:tc>
          <w:tcPr>
            <w:tcW w:w="2026" w:type="dxa"/>
          </w:tcPr>
          <w:p w14:paraId="391831E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vAlign w:val="center"/>
          </w:tcPr>
          <w:p w14:paraId="703E819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28FD890B"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440183010003000102300</w:t>
            </w:r>
          </w:p>
        </w:tc>
      </w:tr>
      <w:tr w:rsidR="006304C3" w14:paraId="023C518C" w14:textId="77777777" w:rsidTr="003E2D5A">
        <w:tc>
          <w:tcPr>
            <w:tcW w:w="2021" w:type="dxa"/>
            <w:vAlign w:val="center"/>
          </w:tcPr>
          <w:p w14:paraId="297DE30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6</w:t>
            </w:r>
          </w:p>
        </w:tc>
        <w:tc>
          <w:tcPr>
            <w:tcW w:w="2026" w:type="dxa"/>
          </w:tcPr>
          <w:p w14:paraId="5D7C5CB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tcPr>
          <w:p w14:paraId="06FE918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6F21E432"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440183010003000101700</w:t>
            </w:r>
          </w:p>
        </w:tc>
      </w:tr>
      <w:tr w:rsidR="006304C3" w14:paraId="37A15A7E" w14:textId="77777777" w:rsidTr="003E2D5A">
        <w:tc>
          <w:tcPr>
            <w:tcW w:w="2021" w:type="dxa"/>
            <w:vAlign w:val="center"/>
          </w:tcPr>
          <w:p w14:paraId="5F11133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7</w:t>
            </w:r>
          </w:p>
        </w:tc>
        <w:tc>
          <w:tcPr>
            <w:tcW w:w="2026" w:type="dxa"/>
          </w:tcPr>
          <w:p w14:paraId="2D1C11E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2023" w:type="dxa"/>
          </w:tcPr>
          <w:p w14:paraId="28E6EC3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3E0096AE"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440183010003000102201</w:t>
            </w:r>
          </w:p>
        </w:tc>
      </w:tr>
    </w:tbl>
    <w:p w14:paraId="44195FF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3.2 小班调查</w:t>
      </w:r>
    </w:p>
    <w:p w14:paraId="1C83C93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采用标准地调查法，根据小班森林资源分布状况及利用手持式卫星定位仪放样方法，设标准地，样地面积为 225 平方米的样方（15 米×15 米），样地数量按照每个作业设计小班各设置 3 </w:t>
      </w:r>
      <w:proofErr w:type="gramStart"/>
      <w:r>
        <w:rPr>
          <w:rFonts w:ascii="宋体" w:eastAsia="宋体" w:hAnsi="宋体" w:hint="eastAsia"/>
          <w:szCs w:val="21"/>
        </w:rPr>
        <w:t>个</w:t>
      </w:r>
      <w:proofErr w:type="gramEnd"/>
      <w:r>
        <w:rPr>
          <w:rFonts w:ascii="宋体" w:eastAsia="宋体" w:hAnsi="宋体" w:hint="eastAsia"/>
          <w:szCs w:val="21"/>
        </w:rPr>
        <w:t xml:space="preserve">标准地确定，共布设 21 </w:t>
      </w:r>
      <w:proofErr w:type="gramStart"/>
      <w:r>
        <w:rPr>
          <w:rFonts w:ascii="宋体" w:eastAsia="宋体" w:hAnsi="宋体" w:hint="eastAsia"/>
          <w:szCs w:val="21"/>
        </w:rPr>
        <w:t>个</w:t>
      </w:r>
      <w:proofErr w:type="gramEnd"/>
      <w:r>
        <w:rPr>
          <w:rFonts w:ascii="宋体" w:eastAsia="宋体" w:hAnsi="宋体" w:hint="eastAsia"/>
          <w:szCs w:val="21"/>
        </w:rPr>
        <w:t>样地。样地调查包括立木树种、郁闭度、树高、胸径、林地植被和土壤等。培育林地主要为调整树种组成与林分密度，平衡土壤养分与水分循环，改善林木生长发育的生态条件，缩短森林培育周期，提高森林资源质量。</w:t>
      </w:r>
    </w:p>
    <w:p w14:paraId="06CC3E0C" w14:textId="77777777" w:rsidR="006304C3" w:rsidRDefault="006304C3" w:rsidP="006304C3">
      <w:pPr>
        <w:spacing w:line="360" w:lineRule="auto"/>
        <w:ind w:firstLineChars="200" w:firstLine="422"/>
        <w:rPr>
          <w:rFonts w:ascii="宋体" w:eastAsia="宋体" w:hAnsi="宋体"/>
          <w:b/>
          <w:bCs/>
          <w:szCs w:val="21"/>
        </w:rPr>
      </w:pPr>
      <w:r>
        <w:rPr>
          <w:rFonts w:ascii="宋体" w:eastAsia="宋体" w:hAnsi="宋体" w:hint="eastAsia"/>
          <w:b/>
          <w:bCs/>
          <w:szCs w:val="21"/>
        </w:rPr>
        <w:t>4. 现状分析</w:t>
      </w:r>
    </w:p>
    <w:p w14:paraId="647502C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4.1 林地现状</w:t>
      </w:r>
    </w:p>
    <w:p w14:paraId="77F7D9B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大封门林场内大径级森林培育地块均为生态公益林。根据林分现状调查结果，基于森林培育方向和功能定位，本次大径级森林培育地块作业设计类型均为现有林提质培育。总结林地现状如下（详见附表3-2）：</w:t>
      </w:r>
    </w:p>
    <w:p w14:paraId="7A682A6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lastRenderedPageBreak/>
        <w:t>（1）作业小班 1（东坑 00700小班）</w:t>
      </w:r>
    </w:p>
    <w:p w14:paraId="092EB07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天然林，乔木种类主要为山乌桕、青冈、鹅掌柴、毛冬青、</w:t>
      </w:r>
      <w:proofErr w:type="gramStart"/>
      <w:r>
        <w:rPr>
          <w:rFonts w:ascii="宋体" w:eastAsia="宋体" w:hAnsi="宋体" w:hint="eastAsia"/>
          <w:szCs w:val="21"/>
        </w:rPr>
        <w:t>潺槁</w:t>
      </w:r>
      <w:proofErr w:type="gramEnd"/>
      <w:r>
        <w:rPr>
          <w:rFonts w:ascii="宋体" w:eastAsia="宋体" w:hAnsi="宋体" w:hint="eastAsia"/>
          <w:szCs w:val="21"/>
        </w:rPr>
        <w:t>树、变叶榕、荷木、马尾松、和樟树等，平均胸径为 13.2 厘米，平均树高 11.5 米，密度为 80 株/亩。目标树种为山乌桕、青冈、荷木、马尾松、变叶榕等，平均胸径为 15.4 厘米，平均树高12.5 米，密度为56 株/亩。灌木种类主要为野牡丹、</w:t>
      </w:r>
      <w:proofErr w:type="gramStart"/>
      <w:r>
        <w:rPr>
          <w:rFonts w:ascii="宋体" w:eastAsia="宋体" w:hAnsi="宋体" w:hint="eastAsia"/>
          <w:szCs w:val="21"/>
        </w:rPr>
        <w:t>钝叶杜鹃</w:t>
      </w:r>
      <w:proofErr w:type="gramEnd"/>
      <w:r>
        <w:rPr>
          <w:rFonts w:ascii="宋体" w:eastAsia="宋体" w:hAnsi="宋体" w:hint="eastAsia"/>
          <w:szCs w:val="21"/>
        </w:rPr>
        <w:t>和</w:t>
      </w:r>
      <w:proofErr w:type="gramStart"/>
      <w:r>
        <w:rPr>
          <w:rFonts w:ascii="宋体" w:eastAsia="宋体" w:hAnsi="宋体" w:hint="eastAsia"/>
          <w:szCs w:val="21"/>
        </w:rPr>
        <w:t>乌爪</w:t>
      </w:r>
      <w:proofErr w:type="gramEnd"/>
      <w:r>
        <w:rPr>
          <w:rFonts w:ascii="宋体" w:eastAsia="宋体" w:hAnsi="宋体" w:hint="eastAsia"/>
          <w:szCs w:val="21"/>
        </w:rPr>
        <w:t>筋；草本种类主要为黑莎草、芒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、毛蕨等。林地郁闭度 0.65，植被盖度 79%。该小班林木生长状态良好，树种总体密度较高，灌木、杂草、藤蔓生长旺盛，盖度较高。</w:t>
      </w:r>
    </w:p>
    <w:p w14:paraId="5F34AE5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（2）作业小班 2（东坑 00200小班）</w:t>
      </w:r>
    </w:p>
    <w:p w14:paraId="0311ACD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天然林，乔木种类主要为青冈、山乌桕、荷木、鸭脚木、</w:t>
      </w:r>
      <w:proofErr w:type="gramStart"/>
      <w:r>
        <w:rPr>
          <w:rFonts w:ascii="宋体" w:eastAsia="宋体" w:hAnsi="宋体" w:hint="eastAsia"/>
          <w:szCs w:val="21"/>
        </w:rPr>
        <w:t>藜蒴</w:t>
      </w:r>
      <w:proofErr w:type="gramEnd"/>
      <w:r>
        <w:rPr>
          <w:rFonts w:ascii="宋体" w:eastAsia="宋体" w:hAnsi="宋体" w:hint="eastAsia"/>
          <w:szCs w:val="21"/>
        </w:rPr>
        <w:t>、木姜子、马尾松、毛冬青等，平均胸径为 12.2厘米，平均树高 10.6米，密度为 66 株/亩。目标树种为青冈、山乌桕、荷木、马尾松、黎</w:t>
      </w:r>
      <w:proofErr w:type="gramStart"/>
      <w:r>
        <w:rPr>
          <w:rFonts w:ascii="宋体" w:eastAsia="宋体" w:hAnsi="宋体" w:hint="eastAsia"/>
          <w:szCs w:val="21"/>
        </w:rPr>
        <w:t>蒴</w:t>
      </w:r>
      <w:proofErr w:type="gramEnd"/>
      <w:r>
        <w:rPr>
          <w:rFonts w:ascii="宋体" w:eastAsia="宋体" w:hAnsi="宋体" w:hint="eastAsia"/>
          <w:szCs w:val="21"/>
        </w:rPr>
        <w:t>，平均胸径为 16.3 厘米，平均树高12.5 米，密度为 33 株/亩。灌木种类主要为杂竹、野牡丹、桃金娘等；草本种类主要为黑莎草、芒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、山姜等。林地郁闭度 0.55，植被盖度 88%。该小班林木生长状态良好，树种总体密度较低，灌木、杂草、藤蔓生长旺盛，盖度较高。</w:t>
      </w:r>
    </w:p>
    <w:p w14:paraId="58201DB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（3）作业小班 3（东坑 00100小班）</w:t>
      </w:r>
    </w:p>
    <w:p w14:paraId="63205051"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乔木种类主要为青冈、山乌桕、马尾松、假</w:t>
      </w:r>
      <w:proofErr w:type="gramStart"/>
      <w:r>
        <w:rPr>
          <w:rFonts w:ascii="宋体" w:eastAsia="宋体" w:hAnsi="宋体" w:hint="eastAsia"/>
          <w:szCs w:val="21"/>
        </w:rPr>
        <w:t>苹</w:t>
      </w:r>
      <w:proofErr w:type="gramEnd"/>
      <w:r>
        <w:rPr>
          <w:rFonts w:ascii="宋体" w:eastAsia="宋体" w:hAnsi="宋体" w:hint="eastAsia"/>
          <w:szCs w:val="21"/>
        </w:rPr>
        <w:t>婆、木姜子、变叶榕、红花荷、鸭脚木和</w:t>
      </w:r>
      <w:proofErr w:type="gramStart"/>
      <w:r>
        <w:rPr>
          <w:rFonts w:ascii="宋体" w:eastAsia="宋体" w:hAnsi="宋体" w:hint="eastAsia"/>
          <w:szCs w:val="21"/>
        </w:rPr>
        <w:t>藜蒴</w:t>
      </w:r>
      <w:proofErr w:type="gramEnd"/>
      <w:r>
        <w:rPr>
          <w:rFonts w:ascii="宋体" w:eastAsia="宋体" w:hAnsi="宋体" w:hint="eastAsia"/>
          <w:szCs w:val="21"/>
        </w:rPr>
        <w:t>等，平均胸径为 12.5 厘米，平均树高9.7米，密度为 53 株/亩。目标树种为青冈、山乌桕、马尾松、黎</w:t>
      </w:r>
      <w:proofErr w:type="gramStart"/>
      <w:r>
        <w:rPr>
          <w:rFonts w:ascii="宋体" w:eastAsia="宋体" w:hAnsi="宋体" w:hint="eastAsia"/>
          <w:szCs w:val="21"/>
        </w:rPr>
        <w:t>蒴</w:t>
      </w:r>
      <w:proofErr w:type="gramEnd"/>
      <w:r>
        <w:rPr>
          <w:rFonts w:ascii="宋体" w:eastAsia="宋体" w:hAnsi="宋体" w:hint="eastAsia"/>
          <w:szCs w:val="21"/>
        </w:rPr>
        <w:t>、红花荷、木姜子等，平均胸径为 14.2 厘米，平均树高10.6 米，密度为32 株/亩。灌木种类主要为野牡丹、桃金娘、</w:t>
      </w:r>
      <w:proofErr w:type="gramStart"/>
      <w:r>
        <w:rPr>
          <w:rFonts w:ascii="宋体" w:eastAsia="宋体" w:hAnsi="宋体" w:hint="eastAsia"/>
          <w:szCs w:val="21"/>
        </w:rPr>
        <w:t>山苍子</w:t>
      </w:r>
      <w:proofErr w:type="gramEnd"/>
      <w:r>
        <w:rPr>
          <w:rFonts w:ascii="宋体" w:eastAsia="宋体" w:hAnsi="宋体" w:hint="eastAsia"/>
          <w:szCs w:val="21"/>
        </w:rPr>
        <w:t>等；草本种类主要为黑莎草、芒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、毛蕨、蓝羊茅等。林地郁闭度 0.55，植被盖度72%。该小班林木生长状态良好，树种总体密度较低，灌木、杂草、藤蔓生长旺盛，盖度较高。</w:t>
      </w:r>
    </w:p>
    <w:p w14:paraId="69B620A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（4）作业小班 4（东坑 01100小班）</w:t>
      </w:r>
    </w:p>
    <w:p w14:paraId="0B1039E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天然林，乔木种类主要为山乌桕、荷木、鹅掌柴、枫香、粗木叶、破布叶、樟树、</w:t>
      </w:r>
      <w:proofErr w:type="gramStart"/>
      <w:r>
        <w:rPr>
          <w:rFonts w:ascii="宋体" w:eastAsia="宋体" w:hAnsi="宋体" w:hint="eastAsia"/>
          <w:szCs w:val="21"/>
        </w:rPr>
        <w:t>潺槁</w:t>
      </w:r>
      <w:proofErr w:type="gramEnd"/>
      <w:r>
        <w:rPr>
          <w:rFonts w:ascii="宋体" w:eastAsia="宋体" w:hAnsi="宋体" w:hint="eastAsia"/>
          <w:szCs w:val="21"/>
        </w:rPr>
        <w:t>树、青冈、大叶木兰等，平均胸径为 13.1 厘米，平均树高 11.6 米，密度为 79株/亩。目标树种为山乌桕、荷木、枫香、樟树、青冈、粗木叶等，平均胸径为 15.6 厘米，平均树高12.3 米，密度为 55株/亩。灌木种类主要为杂竹、野牡丹、桃金娘等；草本种类主要为黑莎草、芒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、毛蕨、柠檬草等。林地郁闭度 0.65，植被盖度 81%。该小班林木生长状态良好，树种总体密度较高，灌木、杂草、藤蔓生长旺盛，盖度较高。</w:t>
      </w:r>
    </w:p>
    <w:p w14:paraId="08894CF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（5）作业小班 5（佛</w:t>
      </w:r>
      <w:proofErr w:type="gramStart"/>
      <w:r>
        <w:rPr>
          <w:rFonts w:ascii="宋体" w:eastAsia="宋体" w:hAnsi="宋体" w:hint="eastAsia"/>
          <w:szCs w:val="21"/>
        </w:rPr>
        <w:t>坳</w:t>
      </w:r>
      <w:proofErr w:type="gramEnd"/>
      <w:r>
        <w:rPr>
          <w:rFonts w:ascii="宋体" w:eastAsia="宋体" w:hAnsi="宋体" w:hint="eastAsia"/>
          <w:szCs w:val="21"/>
        </w:rPr>
        <w:t xml:space="preserve"> 02300小班）</w:t>
      </w:r>
    </w:p>
    <w:p w14:paraId="1659C27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乔木种类</w:t>
      </w:r>
      <w:proofErr w:type="gramStart"/>
      <w:r>
        <w:rPr>
          <w:rFonts w:ascii="宋体" w:eastAsia="宋体" w:hAnsi="宋体" w:hint="eastAsia"/>
          <w:szCs w:val="21"/>
        </w:rPr>
        <w:t>主要为鸭脚</w:t>
      </w:r>
      <w:proofErr w:type="gramEnd"/>
      <w:r>
        <w:rPr>
          <w:rFonts w:ascii="宋体" w:eastAsia="宋体" w:hAnsi="宋体" w:hint="eastAsia"/>
          <w:szCs w:val="21"/>
        </w:rPr>
        <w:t>木、青冈、山乌桕、</w:t>
      </w:r>
      <w:proofErr w:type="gramStart"/>
      <w:r>
        <w:rPr>
          <w:rFonts w:ascii="宋体" w:eastAsia="宋体" w:hAnsi="宋体" w:hint="eastAsia"/>
          <w:szCs w:val="21"/>
        </w:rPr>
        <w:t>藜蒴</w:t>
      </w:r>
      <w:proofErr w:type="gramEnd"/>
      <w:r>
        <w:rPr>
          <w:rFonts w:ascii="宋体" w:eastAsia="宋体" w:hAnsi="宋体" w:hint="eastAsia"/>
          <w:szCs w:val="21"/>
        </w:rPr>
        <w:t>、破布叶、粗叶木、樟树、马占相思等，平均胸径为 14 厘米，平均树高 11.1米，密度为68 株/亩。目标树种为山乌桕、黎</w:t>
      </w:r>
      <w:proofErr w:type="gramStart"/>
      <w:r>
        <w:rPr>
          <w:rFonts w:ascii="宋体" w:eastAsia="宋体" w:hAnsi="宋体" w:hint="eastAsia"/>
          <w:szCs w:val="21"/>
        </w:rPr>
        <w:t>蒴</w:t>
      </w:r>
      <w:proofErr w:type="gramEnd"/>
      <w:r>
        <w:rPr>
          <w:rFonts w:ascii="宋体" w:eastAsia="宋体" w:hAnsi="宋体" w:hint="eastAsia"/>
          <w:szCs w:val="21"/>
        </w:rPr>
        <w:t>、青冈、樟树、马占相思、鸭脚木，平均胸径为 15.4 厘米，平均树高11.7 米，密度为 54 株/亩。灌木种类主要为杂竹、野牡丹、乌药等；草本种类主要为黑莎草、芒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、山姜、毛蕨等。林地郁闭度 0.75，植被盖度 66%。该小班林木生长状态良好，树种总体密度较高，灌木、杂草、藤蔓生长旺盛，盖度一般。</w:t>
      </w:r>
    </w:p>
    <w:p w14:paraId="0C8563C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（6）作业小班 6（佛</w:t>
      </w:r>
      <w:proofErr w:type="gramStart"/>
      <w:r>
        <w:rPr>
          <w:rFonts w:ascii="宋体" w:eastAsia="宋体" w:hAnsi="宋体" w:hint="eastAsia"/>
          <w:szCs w:val="21"/>
        </w:rPr>
        <w:t>坳</w:t>
      </w:r>
      <w:proofErr w:type="gramEnd"/>
      <w:r>
        <w:rPr>
          <w:rFonts w:ascii="宋体" w:eastAsia="宋体" w:hAnsi="宋体" w:hint="eastAsia"/>
          <w:szCs w:val="21"/>
        </w:rPr>
        <w:t xml:space="preserve"> 01700小班）</w:t>
      </w:r>
    </w:p>
    <w:p w14:paraId="7451DDB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lastRenderedPageBreak/>
        <w:t>天然林，乔木种类主要为荷木、樟树、山乌桕、鸭脚木、</w:t>
      </w:r>
      <w:proofErr w:type="gramStart"/>
      <w:r>
        <w:rPr>
          <w:rFonts w:ascii="宋体" w:eastAsia="宋体" w:hAnsi="宋体" w:hint="eastAsia"/>
          <w:szCs w:val="21"/>
        </w:rPr>
        <w:t>藜蒴</w:t>
      </w:r>
      <w:proofErr w:type="gramEnd"/>
      <w:r>
        <w:rPr>
          <w:rFonts w:ascii="宋体" w:eastAsia="宋体" w:hAnsi="宋体" w:hint="eastAsia"/>
          <w:szCs w:val="21"/>
        </w:rPr>
        <w:t>、马尾松、变叶榕、毛冬青、枫香等，平均胸径为 13.4厘米，平均树高9.2 米，密度为 66株/亩。目标树种为山乌桕、荷木、樟树、马尾松、变叶榕、枫香，平均胸径为 14.7厘米，平均树高 9.5 米，密度为 53株/亩。灌木种类主要为杂竹、野牡丹等；草本种类主要为狗脊、芒</w:t>
      </w:r>
      <w:proofErr w:type="gramStart"/>
      <w:r>
        <w:rPr>
          <w:rFonts w:ascii="宋体" w:eastAsia="宋体" w:hAnsi="宋体" w:hint="eastAsia"/>
          <w:szCs w:val="21"/>
        </w:rPr>
        <w:t>萁</w:t>
      </w:r>
      <w:proofErr w:type="gramEnd"/>
      <w:r>
        <w:rPr>
          <w:rFonts w:ascii="宋体" w:eastAsia="宋体" w:hAnsi="宋体" w:hint="eastAsia"/>
          <w:szCs w:val="21"/>
        </w:rPr>
        <w:t>、矛叶</w:t>
      </w:r>
      <w:proofErr w:type="gramStart"/>
      <w:r>
        <w:rPr>
          <w:rFonts w:ascii="宋体" w:eastAsia="宋体" w:hAnsi="宋体" w:hint="eastAsia"/>
          <w:szCs w:val="21"/>
        </w:rPr>
        <w:t>荩</w:t>
      </w:r>
      <w:proofErr w:type="gramEnd"/>
      <w:r>
        <w:rPr>
          <w:rFonts w:ascii="宋体" w:eastAsia="宋体" w:hAnsi="宋体" w:hint="eastAsia"/>
          <w:szCs w:val="21"/>
        </w:rPr>
        <w:t>草、毛蕨等。林地郁闭度 0.6，植被盖度 69%。该小班林木生长状态良好，树种总体密度一般，灌木、杂草、藤蔓生长旺盛，盖度较高。</w:t>
      </w:r>
    </w:p>
    <w:p w14:paraId="03B3FBE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（7）作业小班 7（佛</w:t>
      </w:r>
      <w:proofErr w:type="gramStart"/>
      <w:r>
        <w:rPr>
          <w:rFonts w:ascii="宋体" w:eastAsia="宋体" w:hAnsi="宋体" w:hint="eastAsia"/>
          <w:szCs w:val="21"/>
        </w:rPr>
        <w:t>坳</w:t>
      </w:r>
      <w:proofErr w:type="gramEnd"/>
      <w:r>
        <w:rPr>
          <w:rFonts w:ascii="宋体" w:eastAsia="宋体" w:hAnsi="宋体" w:hint="eastAsia"/>
          <w:szCs w:val="21"/>
        </w:rPr>
        <w:t xml:space="preserve"> 02201小班）</w:t>
      </w:r>
    </w:p>
    <w:p w14:paraId="2AD3331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天然林，乔木种类主要为肉桂、</w:t>
      </w:r>
      <w:proofErr w:type="gramStart"/>
      <w:r>
        <w:rPr>
          <w:rFonts w:ascii="宋体" w:eastAsia="宋体" w:hAnsi="宋体" w:hint="eastAsia"/>
          <w:szCs w:val="21"/>
        </w:rPr>
        <w:t>藜蒴</w:t>
      </w:r>
      <w:proofErr w:type="gramEnd"/>
      <w:r>
        <w:rPr>
          <w:rFonts w:ascii="宋体" w:eastAsia="宋体" w:hAnsi="宋体" w:hint="eastAsia"/>
          <w:szCs w:val="21"/>
        </w:rPr>
        <w:t>、红锥、鹅掌柴、红枫荷、马尾松、润楠、山乌桕、红花荷、台湾相思等，平均胸径为 15.9 厘米，平均树高 9.1 米，密度为 47株/亩。目标树种为红锥、肉桂、黎</w:t>
      </w:r>
      <w:proofErr w:type="gramStart"/>
      <w:r>
        <w:rPr>
          <w:rFonts w:ascii="宋体" w:eastAsia="宋体" w:hAnsi="宋体" w:hint="eastAsia"/>
          <w:szCs w:val="21"/>
        </w:rPr>
        <w:t>蒴</w:t>
      </w:r>
      <w:proofErr w:type="gramEnd"/>
      <w:r>
        <w:rPr>
          <w:rFonts w:ascii="宋体" w:eastAsia="宋体" w:hAnsi="宋体" w:hint="eastAsia"/>
          <w:szCs w:val="21"/>
        </w:rPr>
        <w:t>、马尾松、润楠、山乌桕，平均胸径为 17.3 厘米，平均树高9.5 米，密度为 37 株/亩。灌木种类主要为亮叶猴耳环、小叶红叶藤、九节、野牡丹等；草本种类主要为黑莎草、芒</w:t>
      </w:r>
      <w:proofErr w:type="gramStart"/>
      <w:r>
        <w:rPr>
          <w:rFonts w:ascii="宋体" w:eastAsia="宋体" w:hAnsi="宋体" w:hint="eastAsia"/>
          <w:szCs w:val="21"/>
        </w:rPr>
        <w:t>萁</w:t>
      </w:r>
      <w:proofErr w:type="gramEnd"/>
      <w:r>
        <w:rPr>
          <w:rFonts w:ascii="宋体" w:eastAsia="宋体" w:hAnsi="宋体" w:hint="eastAsia"/>
          <w:szCs w:val="21"/>
        </w:rPr>
        <w:t>、狗脊、山姜等。林地郁闭度0.65，植被盖度 67%。该小班林木生长状态良好，树种总体密度较低，灌木、杂草、藤蔓生长旺盛，盖度一般。</w:t>
      </w:r>
    </w:p>
    <w:p w14:paraId="035AF9D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4.2 林地分析</w:t>
      </w:r>
    </w:p>
    <w:p w14:paraId="542F0E0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根据林地现状调查结果，可知 7 </w:t>
      </w:r>
      <w:proofErr w:type="gramStart"/>
      <w:r>
        <w:rPr>
          <w:rFonts w:ascii="宋体" w:eastAsia="宋体" w:hAnsi="宋体" w:hint="eastAsia"/>
          <w:szCs w:val="21"/>
        </w:rPr>
        <w:t>个</w:t>
      </w:r>
      <w:proofErr w:type="gramEnd"/>
      <w:r>
        <w:rPr>
          <w:rFonts w:ascii="宋体" w:eastAsia="宋体" w:hAnsi="宋体" w:hint="eastAsia"/>
          <w:szCs w:val="21"/>
        </w:rPr>
        <w:t>小班乔木树种组成以山乌桕、鹅掌柴、青冈、荷木、马尾松、黎</w:t>
      </w:r>
      <w:proofErr w:type="gramStart"/>
      <w:r>
        <w:rPr>
          <w:rFonts w:ascii="宋体" w:eastAsia="宋体" w:hAnsi="宋体" w:hint="eastAsia"/>
          <w:szCs w:val="21"/>
        </w:rPr>
        <w:t>蒴</w:t>
      </w:r>
      <w:proofErr w:type="gramEnd"/>
      <w:r>
        <w:rPr>
          <w:rFonts w:ascii="宋体" w:eastAsia="宋体" w:hAnsi="宋体" w:hint="eastAsia"/>
          <w:szCs w:val="21"/>
        </w:rPr>
        <w:t>、红花荷、樟树、红锥、肉桂、其它树种等为主。其中山乌桕、青冈、荷木、黎</w:t>
      </w:r>
      <w:proofErr w:type="gramStart"/>
      <w:r>
        <w:rPr>
          <w:rFonts w:ascii="宋体" w:eastAsia="宋体" w:hAnsi="宋体" w:hint="eastAsia"/>
          <w:szCs w:val="21"/>
        </w:rPr>
        <w:t>蒴</w:t>
      </w:r>
      <w:proofErr w:type="gramEnd"/>
      <w:r>
        <w:rPr>
          <w:rFonts w:ascii="宋体" w:eastAsia="宋体" w:hAnsi="宋体" w:hint="eastAsia"/>
          <w:szCs w:val="21"/>
        </w:rPr>
        <w:t>、红锥、肉桂等分别是各小班主林冠树种。优势树种从景观、林分结构组成等方面往大径级森林资源方向培育的总体生长受限，分析原因为以下几点：</w:t>
      </w:r>
    </w:p>
    <w:p w14:paraId="2C39545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（1）树种间竞争较强。小班内种植密度较高，如作业小班 1、4、5，小班内种植密度较高，其他乔木树种数量也较多，与优势树种存在较强的种间竞争，导致优势树种生长空间和养分受限。同时小班林地内灌木杂草生长较旺盛，均有分布，更加剧了种间的营养竞争。</w:t>
      </w:r>
    </w:p>
    <w:p w14:paraId="2E648F5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（2）小班内藤蔓野蛮生长与分布，影响优势树种的正常生长。所有作业小班林地内均有藤蔓缠绕到优势树种树冠上，会影响优势树种的光合作用，使优势树种生长受限。</w:t>
      </w:r>
    </w:p>
    <w:p w14:paraId="62DC470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（3）林地郁闭度偏高，影响优势树种的生长。如作业小班 5，小班内总体种植密度较高，郁闭度达 0.75，会影响优势树种的生长。</w:t>
      </w:r>
    </w:p>
    <w:p w14:paraId="379F02B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（4）树木枯枝断枝较多，影响优势树种的生长。如作业小班 1、4、5，小班内总体种植密度较高，树木下层积累较多枯枝、断枝，对优势树种的生长产生了一定的影响。</w:t>
      </w:r>
    </w:p>
    <w:p w14:paraId="6A37C80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4.3 对策措施</w:t>
      </w:r>
    </w:p>
    <w:p w14:paraId="79025C9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针对上述归纳的影响优势树种生长的原因，需采取以下精准措施，促进优势树种的生长。</w:t>
      </w:r>
    </w:p>
    <w:p w14:paraId="6AA6B35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（1）采取整形修枝，除去树木下层密集的枯枝和断枝，扩大生长空间。全部小班均需进行整形修枝。</w:t>
      </w:r>
    </w:p>
    <w:p w14:paraId="183C051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（2）采取林地清理，块状清除妨碍目的树种生长的灌木、杂草、藤蔓。全部小班均需进行林地清理。</w:t>
      </w:r>
    </w:p>
    <w:p w14:paraId="519B814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（3）采取抚育施肥，针对目的树种进行抚育施肥，促进营养吸收，使其正常生长。全部小班均</w:t>
      </w:r>
      <w:r>
        <w:rPr>
          <w:rFonts w:ascii="宋体" w:eastAsia="宋体" w:hAnsi="宋体" w:hint="eastAsia"/>
          <w:szCs w:val="21"/>
        </w:rPr>
        <w:lastRenderedPageBreak/>
        <w:t>需进行抚育施肥。</w:t>
      </w:r>
    </w:p>
    <w:p w14:paraId="55BB05F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（4）补植套种，针对存在林地空窗的小班进行补植套种。如作业小班 1、2、3、4、7。</w:t>
      </w:r>
    </w:p>
    <w:p w14:paraId="02E09CAA"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3-2 大径级森林培育项目作业设计现状调查表</w:t>
      </w:r>
    </w:p>
    <w:p w14:paraId="7DE6E79E" w14:textId="77777777" w:rsidR="006304C3" w:rsidRDefault="006304C3" w:rsidP="006304C3">
      <w:pPr>
        <w:spacing w:line="360" w:lineRule="auto"/>
        <w:jc w:val="center"/>
        <w:rPr>
          <w:rFonts w:ascii="宋体" w:eastAsia="宋体" w:hAnsi="宋体"/>
          <w:szCs w:val="21"/>
        </w:rPr>
      </w:pPr>
      <w:r>
        <w:rPr>
          <w:rFonts w:ascii="宋体" w:eastAsia="宋体" w:hAnsi="宋体"/>
          <w:noProof/>
          <w:szCs w:val="21"/>
        </w:rPr>
        <w:drawing>
          <wp:inline distT="0" distB="0" distL="0" distR="0" wp14:anchorId="3B40DB29" wp14:editId="42248F88">
            <wp:extent cx="5905500" cy="3543935"/>
            <wp:effectExtent l="0" t="0" r="0" b="0"/>
            <wp:docPr id="67832359" name="图片 1" descr="图片包含 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832359" name="图片 1" descr="图片包含 表格&#10;&#10;描述已自动生成"/>
                    <pic:cNvPicPr>
                      <a:picLocks noChangeAspect="1"/>
                    </pic:cNvPicPr>
                  </pic:nvPicPr>
                  <pic:blipFill>
                    <a:blip r:embed="rId6"/>
                    <a:stretch>
                      <a:fillRect/>
                    </a:stretch>
                  </pic:blipFill>
                  <pic:spPr>
                    <a:xfrm>
                      <a:off x="0" y="0"/>
                      <a:ext cx="5917869" cy="3551719"/>
                    </a:xfrm>
                    <a:prstGeom prst="rect">
                      <a:avLst/>
                    </a:prstGeom>
                  </pic:spPr>
                </pic:pic>
              </a:graphicData>
            </a:graphic>
          </wp:inline>
        </w:drawing>
      </w:r>
    </w:p>
    <w:p w14:paraId="1E508BA5" w14:textId="77777777" w:rsidR="006304C3" w:rsidRDefault="006304C3" w:rsidP="006304C3">
      <w:pPr>
        <w:spacing w:line="360" w:lineRule="auto"/>
        <w:rPr>
          <w:rFonts w:ascii="宋体" w:eastAsia="宋体" w:hAnsi="宋体"/>
          <w:szCs w:val="21"/>
        </w:rPr>
      </w:pPr>
      <w:r>
        <w:rPr>
          <w:rFonts w:ascii="宋体" w:eastAsia="宋体" w:hAnsi="宋体"/>
          <w:noProof/>
          <w:szCs w:val="21"/>
        </w:rPr>
        <w:drawing>
          <wp:inline distT="0" distB="0" distL="0" distR="0" wp14:anchorId="0FA333DE" wp14:editId="03098EDD">
            <wp:extent cx="5904865" cy="2531110"/>
            <wp:effectExtent l="0" t="0" r="635" b="2540"/>
            <wp:docPr id="1290171694" name="图片 1" descr="图片包含 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0171694" name="图片 1" descr="图片包含 日历&#10;&#10;描述已自动生成"/>
                    <pic:cNvPicPr>
                      <a:picLocks noChangeAspect="1"/>
                    </pic:cNvPicPr>
                  </pic:nvPicPr>
                  <pic:blipFill>
                    <a:blip r:embed="rId7"/>
                    <a:stretch>
                      <a:fillRect/>
                    </a:stretch>
                  </pic:blipFill>
                  <pic:spPr>
                    <a:xfrm>
                      <a:off x="0" y="0"/>
                      <a:ext cx="5925634" cy="2539761"/>
                    </a:xfrm>
                    <a:prstGeom prst="rect">
                      <a:avLst/>
                    </a:prstGeom>
                  </pic:spPr>
                </pic:pic>
              </a:graphicData>
            </a:graphic>
          </wp:inline>
        </w:drawing>
      </w:r>
    </w:p>
    <w:p w14:paraId="1309EB12"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四、</w:t>
      </w:r>
      <w:r>
        <w:rPr>
          <w:rFonts w:ascii="宋体" w:eastAsia="宋体" w:hAnsi="宋体" w:hint="eastAsia"/>
          <w:sz w:val="21"/>
          <w:szCs w:val="21"/>
        </w:rPr>
        <w:t>作业设计布局</w:t>
      </w:r>
    </w:p>
    <w:p w14:paraId="7E8BD8D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1.目标树种选择</w:t>
      </w:r>
    </w:p>
    <w:p w14:paraId="560BB9D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根据小班树种组成及培育目标要求，本项目 7 </w:t>
      </w:r>
      <w:proofErr w:type="gramStart"/>
      <w:r>
        <w:rPr>
          <w:rFonts w:ascii="宋体" w:eastAsia="宋体" w:hAnsi="宋体" w:hint="eastAsia"/>
          <w:szCs w:val="21"/>
        </w:rPr>
        <w:t>个</w:t>
      </w:r>
      <w:proofErr w:type="gramEnd"/>
      <w:r>
        <w:rPr>
          <w:rFonts w:ascii="宋体" w:eastAsia="宋体" w:hAnsi="宋体" w:hint="eastAsia"/>
          <w:szCs w:val="21"/>
        </w:rPr>
        <w:t>作业小班内山乌桕、青冈、荷木、黎</w:t>
      </w:r>
      <w:proofErr w:type="gramStart"/>
      <w:r>
        <w:rPr>
          <w:rFonts w:ascii="宋体" w:eastAsia="宋体" w:hAnsi="宋体" w:hint="eastAsia"/>
          <w:szCs w:val="21"/>
        </w:rPr>
        <w:t>蒴</w:t>
      </w:r>
      <w:proofErr w:type="gramEnd"/>
      <w:r>
        <w:rPr>
          <w:rFonts w:ascii="宋体" w:eastAsia="宋体" w:hAnsi="宋体" w:hint="eastAsia"/>
          <w:szCs w:val="21"/>
        </w:rPr>
        <w:t>、红锥、肉桂和樟树等长势良好，且树干较为通直，价值较高，因此选择这几种树种为本次目标培育树种。</w:t>
      </w:r>
    </w:p>
    <w:p w14:paraId="1AE5CE1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2.设计布局</w:t>
      </w:r>
    </w:p>
    <w:p w14:paraId="7D211A4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根据实地调查， 2024年增城区森林质量优化提升工程(大封门林场大径级森林培育)位于增城区大封门林场 ，总面积约5164.5亩，主要分布在东坑工区00700、00200、00100、01100小班，佛</w:t>
      </w:r>
      <w:proofErr w:type="gramStart"/>
      <w:r>
        <w:rPr>
          <w:rFonts w:ascii="宋体" w:eastAsia="宋体" w:hAnsi="宋体" w:hint="eastAsia"/>
          <w:szCs w:val="21"/>
        </w:rPr>
        <w:lastRenderedPageBreak/>
        <w:t>坳</w:t>
      </w:r>
      <w:proofErr w:type="gramEnd"/>
      <w:r>
        <w:rPr>
          <w:rFonts w:ascii="宋体" w:eastAsia="宋体" w:hAnsi="宋体" w:hint="eastAsia"/>
          <w:szCs w:val="21"/>
        </w:rPr>
        <w:t>工区02300、01700、02201小班，共划分7个作业小班，详见附表4-1。</w:t>
      </w:r>
    </w:p>
    <w:p w14:paraId="79FA1DA2"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4-1 作业小班分布面积</w:t>
      </w:r>
    </w:p>
    <w:tbl>
      <w:tblPr>
        <w:tblStyle w:val="a7"/>
        <w:tblW w:w="0" w:type="auto"/>
        <w:tblLook w:val="04A0" w:firstRow="1" w:lastRow="0" w:firstColumn="1" w:lastColumn="0" w:noHBand="0" w:noVBand="1"/>
      </w:tblPr>
      <w:tblGrid>
        <w:gridCol w:w="1704"/>
        <w:gridCol w:w="1704"/>
        <w:gridCol w:w="1704"/>
        <w:gridCol w:w="1705"/>
        <w:gridCol w:w="2316"/>
      </w:tblGrid>
      <w:tr w:rsidR="006304C3" w14:paraId="41E7E80D" w14:textId="77777777" w:rsidTr="003E2D5A">
        <w:tc>
          <w:tcPr>
            <w:tcW w:w="1704" w:type="dxa"/>
            <w:vAlign w:val="center"/>
          </w:tcPr>
          <w:p w14:paraId="0B4FDC32" w14:textId="77777777" w:rsidR="006304C3" w:rsidRDefault="006304C3" w:rsidP="003E2D5A">
            <w:pPr>
              <w:jc w:val="center"/>
              <w:rPr>
                <w:rFonts w:ascii="宋体" w:eastAsia="宋体" w:hAnsi="宋体"/>
                <w:szCs w:val="21"/>
              </w:rPr>
            </w:pPr>
            <w:r>
              <w:rPr>
                <w:rFonts w:ascii="宋体" w:eastAsia="宋体" w:hAnsi="宋体" w:hint="eastAsia"/>
                <w:szCs w:val="21"/>
              </w:rPr>
              <w:t>作业小班号</w:t>
            </w:r>
          </w:p>
        </w:tc>
        <w:tc>
          <w:tcPr>
            <w:tcW w:w="1704" w:type="dxa"/>
            <w:vAlign w:val="center"/>
          </w:tcPr>
          <w:p w14:paraId="11BF25E3" w14:textId="77777777" w:rsidR="006304C3" w:rsidRDefault="006304C3" w:rsidP="003E2D5A">
            <w:pPr>
              <w:jc w:val="center"/>
              <w:rPr>
                <w:rFonts w:ascii="宋体" w:eastAsia="宋体" w:hAnsi="宋体"/>
                <w:szCs w:val="21"/>
              </w:rPr>
            </w:pPr>
            <w:r>
              <w:rPr>
                <w:rFonts w:ascii="宋体" w:eastAsia="宋体" w:hAnsi="宋体" w:hint="eastAsia"/>
                <w:szCs w:val="21"/>
              </w:rPr>
              <w:t>镇(街/林场)</w:t>
            </w:r>
          </w:p>
        </w:tc>
        <w:tc>
          <w:tcPr>
            <w:tcW w:w="1704" w:type="dxa"/>
            <w:vAlign w:val="center"/>
          </w:tcPr>
          <w:p w14:paraId="6D1D2006" w14:textId="77777777" w:rsidR="006304C3" w:rsidRDefault="006304C3" w:rsidP="003E2D5A">
            <w:pPr>
              <w:jc w:val="center"/>
              <w:rPr>
                <w:rFonts w:ascii="宋体" w:eastAsia="宋体" w:hAnsi="宋体"/>
                <w:szCs w:val="21"/>
              </w:rPr>
            </w:pPr>
            <w:r>
              <w:rPr>
                <w:rFonts w:ascii="宋体" w:eastAsia="宋体" w:hAnsi="宋体" w:hint="eastAsia"/>
                <w:szCs w:val="21"/>
              </w:rPr>
              <w:t>村/工区</w:t>
            </w:r>
          </w:p>
        </w:tc>
        <w:tc>
          <w:tcPr>
            <w:tcW w:w="1705" w:type="dxa"/>
            <w:vAlign w:val="center"/>
          </w:tcPr>
          <w:p w14:paraId="1162669E" w14:textId="77777777" w:rsidR="006304C3" w:rsidRDefault="006304C3" w:rsidP="003E2D5A">
            <w:pPr>
              <w:jc w:val="center"/>
              <w:rPr>
                <w:rFonts w:ascii="宋体" w:eastAsia="宋体" w:hAnsi="宋体"/>
                <w:szCs w:val="21"/>
              </w:rPr>
            </w:pPr>
            <w:r>
              <w:rPr>
                <w:rFonts w:ascii="宋体" w:eastAsia="宋体" w:hAnsi="宋体" w:hint="eastAsia"/>
                <w:szCs w:val="21"/>
              </w:rPr>
              <w:t>面积（亩）</w:t>
            </w:r>
          </w:p>
        </w:tc>
        <w:tc>
          <w:tcPr>
            <w:tcW w:w="1705" w:type="dxa"/>
            <w:vAlign w:val="center"/>
          </w:tcPr>
          <w:p w14:paraId="07076630" w14:textId="77777777" w:rsidR="006304C3" w:rsidRDefault="006304C3" w:rsidP="003E2D5A">
            <w:pPr>
              <w:jc w:val="center"/>
              <w:rPr>
                <w:rFonts w:ascii="宋体" w:eastAsia="宋体" w:hAnsi="宋体"/>
                <w:szCs w:val="21"/>
              </w:rPr>
            </w:pPr>
            <w:r>
              <w:rPr>
                <w:rFonts w:ascii="宋体" w:eastAsia="宋体" w:hAnsi="宋体" w:hint="eastAsia"/>
                <w:szCs w:val="21"/>
              </w:rPr>
              <w:t>地籍号</w:t>
            </w:r>
          </w:p>
        </w:tc>
      </w:tr>
      <w:tr w:rsidR="006304C3" w14:paraId="05A90AB4" w14:textId="77777777" w:rsidTr="003E2D5A">
        <w:tc>
          <w:tcPr>
            <w:tcW w:w="1704" w:type="dxa"/>
            <w:vAlign w:val="center"/>
          </w:tcPr>
          <w:p w14:paraId="78BDFF6E" w14:textId="77777777" w:rsidR="006304C3" w:rsidRDefault="006304C3" w:rsidP="003E2D5A">
            <w:pPr>
              <w:jc w:val="center"/>
              <w:rPr>
                <w:rFonts w:ascii="宋体" w:eastAsia="宋体" w:hAnsi="宋体"/>
                <w:szCs w:val="21"/>
              </w:rPr>
            </w:pPr>
            <w:r>
              <w:rPr>
                <w:rFonts w:ascii="宋体" w:eastAsia="宋体" w:hAnsi="宋体" w:hint="eastAsia"/>
                <w:szCs w:val="21"/>
              </w:rPr>
              <w:t>1</w:t>
            </w:r>
          </w:p>
        </w:tc>
        <w:tc>
          <w:tcPr>
            <w:tcW w:w="1704" w:type="dxa"/>
            <w:vAlign w:val="center"/>
          </w:tcPr>
          <w:p w14:paraId="2BFD0E75"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26205CC5" w14:textId="77777777" w:rsidR="006304C3" w:rsidRDefault="006304C3" w:rsidP="003E2D5A">
            <w:pPr>
              <w:jc w:val="center"/>
              <w:rPr>
                <w:rFonts w:ascii="宋体" w:eastAsia="宋体" w:hAnsi="宋体"/>
                <w:szCs w:val="21"/>
              </w:rPr>
            </w:pPr>
            <w:r>
              <w:rPr>
                <w:rFonts w:ascii="宋体" w:eastAsia="宋体" w:hAnsi="宋体" w:hint="eastAsia"/>
                <w:szCs w:val="21"/>
              </w:rPr>
              <w:t>东坑</w:t>
            </w:r>
          </w:p>
        </w:tc>
        <w:tc>
          <w:tcPr>
            <w:tcW w:w="1705" w:type="dxa"/>
            <w:vAlign w:val="center"/>
          </w:tcPr>
          <w:p w14:paraId="4293C93C" w14:textId="77777777" w:rsidR="006304C3" w:rsidRDefault="006304C3" w:rsidP="003E2D5A">
            <w:pPr>
              <w:jc w:val="center"/>
              <w:rPr>
                <w:rFonts w:ascii="宋体" w:eastAsia="宋体" w:hAnsi="宋体"/>
                <w:szCs w:val="21"/>
              </w:rPr>
            </w:pPr>
            <w:r>
              <w:rPr>
                <w:rFonts w:ascii="宋体" w:eastAsia="宋体" w:hAnsi="宋体"/>
                <w:szCs w:val="21"/>
              </w:rPr>
              <w:t>779.4</w:t>
            </w:r>
          </w:p>
        </w:tc>
        <w:tc>
          <w:tcPr>
            <w:tcW w:w="1705" w:type="dxa"/>
            <w:vAlign w:val="center"/>
          </w:tcPr>
          <w:p w14:paraId="3A9BCA34" w14:textId="77777777" w:rsidR="006304C3" w:rsidRDefault="006304C3" w:rsidP="003E2D5A">
            <w:pPr>
              <w:jc w:val="center"/>
              <w:rPr>
                <w:rFonts w:ascii="宋体" w:eastAsia="宋体" w:hAnsi="宋体"/>
                <w:szCs w:val="21"/>
              </w:rPr>
            </w:pPr>
            <w:r>
              <w:rPr>
                <w:rFonts w:ascii="宋体" w:eastAsia="宋体" w:hAnsi="宋体"/>
                <w:szCs w:val="21"/>
              </w:rPr>
              <w:t>440183010004000100700</w:t>
            </w:r>
          </w:p>
        </w:tc>
      </w:tr>
      <w:tr w:rsidR="006304C3" w14:paraId="0D3F68B2" w14:textId="77777777" w:rsidTr="003E2D5A">
        <w:tc>
          <w:tcPr>
            <w:tcW w:w="1704" w:type="dxa"/>
            <w:vAlign w:val="center"/>
          </w:tcPr>
          <w:p w14:paraId="410C5EC0" w14:textId="77777777" w:rsidR="006304C3" w:rsidRDefault="006304C3" w:rsidP="003E2D5A">
            <w:pPr>
              <w:jc w:val="center"/>
              <w:rPr>
                <w:rFonts w:ascii="宋体" w:eastAsia="宋体" w:hAnsi="宋体"/>
                <w:szCs w:val="21"/>
              </w:rPr>
            </w:pPr>
            <w:r>
              <w:rPr>
                <w:rFonts w:ascii="宋体" w:eastAsia="宋体" w:hAnsi="宋体" w:hint="eastAsia"/>
                <w:szCs w:val="21"/>
              </w:rPr>
              <w:t>2</w:t>
            </w:r>
          </w:p>
        </w:tc>
        <w:tc>
          <w:tcPr>
            <w:tcW w:w="1704" w:type="dxa"/>
          </w:tcPr>
          <w:p w14:paraId="129BD0E8"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7EAA0FFF" w14:textId="77777777" w:rsidR="006304C3" w:rsidRDefault="006304C3" w:rsidP="003E2D5A">
            <w:pPr>
              <w:jc w:val="center"/>
              <w:rPr>
                <w:rFonts w:ascii="宋体" w:eastAsia="宋体" w:hAnsi="宋体"/>
                <w:szCs w:val="21"/>
              </w:rPr>
            </w:pPr>
            <w:r>
              <w:rPr>
                <w:rFonts w:ascii="宋体" w:eastAsia="宋体" w:hAnsi="宋体" w:hint="eastAsia"/>
                <w:szCs w:val="21"/>
              </w:rPr>
              <w:t>东坑</w:t>
            </w:r>
          </w:p>
        </w:tc>
        <w:tc>
          <w:tcPr>
            <w:tcW w:w="1705" w:type="dxa"/>
            <w:vAlign w:val="center"/>
          </w:tcPr>
          <w:p w14:paraId="5D34A0EC" w14:textId="77777777" w:rsidR="006304C3" w:rsidRDefault="006304C3" w:rsidP="003E2D5A">
            <w:pPr>
              <w:jc w:val="center"/>
              <w:rPr>
                <w:rFonts w:ascii="宋体" w:eastAsia="宋体" w:hAnsi="宋体"/>
                <w:szCs w:val="21"/>
              </w:rPr>
            </w:pPr>
            <w:r>
              <w:rPr>
                <w:rFonts w:ascii="宋体" w:eastAsia="宋体" w:hAnsi="宋体"/>
                <w:szCs w:val="21"/>
              </w:rPr>
              <w:t>324.7</w:t>
            </w:r>
          </w:p>
        </w:tc>
        <w:tc>
          <w:tcPr>
            <w:tcW w:w="1705" w:type="dxa"/>
            <w:vAlign w:val="center"/>
          </w:tcPr>
          <w:p w14:paraId="470E5E2B" w14:textId="77777777" w:rsidR="006304C3" w:rsidRDefault="006304C3" w:rsidP="003E2D5A">
            <w:pPr>
              <w:jc w:val="center"/>
              <w:rPr>
                <w:rFonts w:ascii="宋体" w:eastAsia="宋体" w:hAnsi="宋体"/>
                <w:szCs w:val="21"/>
              </w:rPr>
            </w:pPr>
            <w:r>
              <w:rPr>
                <w:rFonts w:ascii="宋体" w:eastAsia="宋体" w:hAnsi="宋体"/>
                <w:szCs w:val="21"/>
              </w:rPr>
              <w:t>440183010004000100200</w:t>
            </w:r>
          </w:p>
        </w:tc>
      </w:tr>
      <w:tr w:rsidR="006304C3" w14:paraId="3D072AB3" w14:textId="77777777" w:rsidTr="003E2D5A">
        <w:tc>
          <w:tcPr>
            <w:tcW w:w="1704" w:type="dxa"/>
            <w:vAlign w:val="center"/>
          </w:tcPr>
          <w:p w14:paraId="54A03CAB" w14:textId="77777777" w:rsidR="006304C3" w:rsidRDefault="006304C3" w:rsidP="003E2D5A">
            <w:pPr>
              <w:jc w:val="center"/>
              <w:rPr>
                <w:rFonts w:ascii="宋体" w:eastAsia="宋体" w:hAnsi="宋体"/>
                <w:szCs w:val="21"/>
              </w:rPr>
            </w:pPr>
            <w:r>
              <w:rPr>
                <w:rFonts w:ascii="宋体" w:eastAsia="宋体" w:hAnsi="宋体" w:hint="eastAsia"/>
                <w:szCs w:val="21"/>
              </w:rPr>
              <w:t>3</w:t>
            </w:r>
          </w:p>
        </w:tc>
        <w:tc>
          <w:tcPr>
            <w:tcW w:w="1704" w:type="dxa"/>
          </w:tcPr>
          <w:p w14:paraId="22445B51"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336FFB2F" w14:textId="77777777" w:rsidR="006304C3" w:rsidRDefault="006304C3" w:rsidP="003E2D5A">
            <w:pPr>
              <w:jc w:val="center"/>
              <w:rPr>
                <w:rFonts w:ascii="宋体" w:eastAsia="宋体" w:hAnsi="宋体"/>
                <w:szCs w:val="21"/>
              </w:rPr>
            </w:pPr>
            <w:r>
              <w:rPr>
                <w:rFonts w:ascii="宋体" w:eastAsia="宋体" w:hAnsi="宋体" w:hint="eastAsia"/>
                <w:szCs w:val="21"/>
              </w:rPr>
              <w:t>东坑</w:t>
            </w:r>
          </w:p>
        </w:tc>
        <w:tc>
          <w:tcPr>
            <w:tcW w:w="1705" w:type="dxa"/>
            <w:vAlign w:val="center"/>
          </w:tcPr>
          <w:p w14:paraId="6A03FBDC" w14:textId="77777777" w:rsidR="006304C3" w:rsidRDefault="006304C3" w:rsidP="003E2D5A">
            <w:pPr>
              <w:jc w:val="center"/>
              <w:rPr>
                <w:rFonts w:ascii="宋体" w:eastAsia="宋体" w:hAnsi="宋体"/>
                <w:szCs w:val="21"/>
              </w:rPr>
            </w:pPr>
            <w:r>
              <w:rPr>
                <w:rFonts w:ascii="宋体" w:eastAsia="宋体" w:hAnsi="宋体"/>
                <w:szCs w:val="21"/>
              </w:rPr>
              <w:t>916.2</w:t>
            </w:r>
          </w:p>
        </w:tc>
        <w:tc>
          <w:tcPr>
            <w:tcW w:w="1705" w:type="dxa"/>
            <w:vAlign w:val="center"/>
          </w:tcPr>
          <w:p w14:paraId="35E21332" w14:textId="77777777" w:rsidR="006304C3" w:rsidRDefault="006304C3" w:rsidP="003E2D5A">
            <w:pPr>
              <w:jc w:val="center"/>
              <w:rPr>
                <w:rFonts w:ascii="宋体" w:eastAsia="宋体" w:hAnsi="宋体"/>
                <w:szCs w:val="21"/>
              </w:rPr>
            </w:pPr>
            <w:r>
              <w:rPr>
                <w:rFonts w:ascii="宋体" w:eastAsia="宋体" w:hAnsi="宋体"/>
                <w:szCs w:val="21"/>
              </w:rPr>
              <w:t>440183010004000100100</w:t>
            </w:r>
          </w:p>
        </w:tc>
      </w:tr>
      <w:tr w:rsidR="006304C3" w14:paraId="4146957C" w14:textId="77777777" w:rsidTr="003E2D5A">
        <w:tc>
          <w:tcPr>
            <w:tcW w:w="1704" w:type="dxa"/>
            <w:vAlign w:val="center"/>
          </w:tcPr>
          <w:p w14:paraId="56FDDE15" w14:textId="77777777" w:rsidR="006304C3" w:rsidRDefault="006304C3" w:rsidP="003E2D5A">
            <w:pPr>
              <w:jc w:val="center"/>
              <w:rPr>
                <w:rFonts w:ascii="宋体" w:eastAsia="宋体" w:hAnsi="宋体"/>
                <w:szCs w:val="21"/>
              </w:rPr>
            </w:pPr>
            <w:r>
              <w:rPr>
                <w:rFonts w:ascii="宋体" w:eastAsia="宋体" w:hAnsi="宋体" w:hint="eastAsia"/>
                <w:szCs w:val="21"/>
              </w:rPr>
              <w:t>4</w:t>
            </w:r>
          </w:p>
        </w:tc>
        <w:tc>
          <w:tcPr>
            <w:tcW w:w="1704" w:type="dxa"/>
          </w:tcPr>
          <w:p w14:paraId="643DA94A"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2C9457AC" w14:textId="77777777" w:rsidR="006304C3" w:rsidRDefault="006304C3" w:rsidP="003E2D5A">
            <w:pPr>
              <w:jc w:val="center"/>
              <w:rPr>
                <w:rFonts w:ascii="宋体" w:eastAsia="宋体" w:hAnsi="宋体"/>
                <w:szCs w:val="21"/>
              </w:rPr>
            </w:pPr>
            <w:r>
              <w:rPr>
                <w:rFonts w:ascii="宋体" w:eastAsia="宋体" w:hAnsi="宋体" w:hint="eastAsia"/>
                <w:szCs w:val="21"/>
              </w:rPr>
              <w:t>东坑</w:t>
            </w:r>
          </w:p>
        </w:tc>
        <w:tc>
          <w:tcPr>
            <w:tcW w:w="1705" w:type="dxa"/>
            <w:vAlign w:val="center"/>
          </w:tcPr>
          <w:p w14:paraId="51F42884" w14:textId="77777777" w:rsidR="006304C3" w:rsidRDefault="006304C3" w:rsidP="003E2D5A">
            <w:pPr>
              <w:jc w:val="center"/>
              <w:rPr>
                <w:rFonts w:ascii="宋体" w:eastAsia="宋体" w:hAnsi="宋体"/>
                <w:szCs w:val="21"/>
              </w:rPr>
            </w:pPr>
            <w:r>
              <w:rPr>
                <w:rFonts w:ascii="宋体" w:eastAsia="宋体" w:hAnsi="宋体"/>
                <w:szCs w:val="21"/>
              </w:rPr>
              <w:t>1437.9</w:t>
            </w:r>
          </w:p>
        </w:tc>
        <w:tc>
          <w:tcPr>
            <w:tcW w:w="1705" w:type="dxa"/>
            <w:vAlign w:val="center"/>
          </w:tcPr>
          <w:p w14:paraId="1EC3314A" w14:textId="77777777" w:rsidR="006304C3" w:rsidRDefault="006304C3" w:rsidP="003E2D5A">
            <w:pPr>
              <w:jc w:val="center"/>
              <w:rPr>
                <w:rFonts w:ascii="宋体" w:eastAsia="宋体" w:hAnsi="宋体"/>
                <w:szCs w:val="21"/>
              </w:rPr>
            </w:pPr>
            <w:r>
              <w:rPr>
                <w:rFonts w:ascii="宋体" w:eastAsia="宋体" w:hAnsi="宋体"/>
                <w:szCs w:val="21"/>
              </w:rPr>
              <w:t>440183010004000101100</w:t>
            </w:r>
          </w:p>
        </w:tc>
      </w:tr>
      <w:tr w:rsidR="006304C3" w14:paraId="5477D7D5" w14:textId="77777777" w:rsidTr="003E2D5A">
        <w:tc>
          <w:tcPr>
            <w:tcW w:w="1704" w:type="dxa"/>
            <w:vAlign w:val="center"/>
          </w:tcPr>
          <w:p w14:paraId="4BE19954" w14:textId="77777777" w:rsidR="006304C3" w:rsidRDefault="006304C3" w:rsidP="003E2D5A">
            <w:pPr>
              <w:jc w:val="center"/>
              <w:rPr>
                <w:rFonts w:ascii="宋体" w:eastAsia="宋体" w:hAnsi="宋体"/>
                <w:szCs w:val="21"/>
              </w:rPr>
            </w:pPr>
            <w:r>
              <w:rPr>
                <w:rFonts w:ascii="宋体" w:eastAsia="宋体" w:hAnsi="宋体" w:hint="eastAsia"/>
                <w:szCs w:val="21"/>
              </w:rPr>
              <w:t>5</w:t>
            </w:r>
          </w:p>
        </w:tc>
        <w:tc>
          <w:tcPr>
            <w:tcW w:w="1704" w:type="dxa"/>
          </w:tcPr>
          <w:p w14:paraId="28C3F8D8"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012E3B55" w14:textId="77777777" w:rsidR="006304C3" w:rsidRDefault="006304C3" w:rsidP="003E2D5A">
            <w:pPr>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1705" w:type="dxa"/>
            <w:vAlign w:val="center"/>
          </w:tcPr>
          <w:p w14:paraId="65A6DC95" w14:textId="77777777" w:rsidR="006304C3" w:rsidRDefault="006304C3" w:rsidP="003E2D5A">
            <w:pPr>
              <w:jc w:val="center"/>
              <w:rPr>
                <w:rFonts w:ascii="宋体" w:eastAsia="宋体" w:hAnsi="宋体"/>
                <w:szCs w:val="21"/>
              </w:rPr>
            </w:pPr>
            <w:r>
              <w:rPr>
                <w:rFonts w:ascii="宋体" w:eastAsia="宋体" w:hAnsi="宋体"/>
                <w:szCs w:val="21"/>
              </w:rPr>
              <w:t>339.8</w:t>
            </w:r>
          </w:p>
        </w:tc>
        <w:tc>
          <w:tcPr>
            <w:tcW w:w="1705" w:type="dxa"/>
            <w:vAlign w:val="center"/>
          </w:tcPr>
          <w:p w14:paraId="4D691C84" w14:textId="77777777" w:rsidR="006304C3" w:rsidRDefault="006304C3" w:rsidP="003E2D5A">
            <w:pPr>
              <w:jc w:val="center"/>
              <w:rPr>
                <w:rFonts w:ascii="宋体" w:eastAsia="宋体" w:hAnsi="宋体"/>
                <w:szCs w:val="21"/>
              </w:rPr>
            </w:pPr>
            <w:r>
              <w:rPr>
                <w:rFonts w:ascii="宋体" w:eastAsia="宋体" w:hAnsi="宋体"/>
                <w:szCs w:val="21"/>
              </w:rPr>
              <w:t>440183010003000102300</w:t>
            </w:r>
          </w:p>
        </w:tc>
      </w:tr>
      <w:tr w:rsidR="006304C3" w14:paraId="5E1185A3" w14:textId="77777777" w:rsidTr="003E2D5A">
        <w:tc>
          <w:tcPr>
            <w:tcW w:w="1704" w:type="dxa"/>
            <w:vAlign w:val="center"/>
          </w:tcPr>
          <w:p w14:paraId="149FE517" w14:textId="77777777" w:rsidR="006304C3" w:rsidRDefault="006304C3" w:rsidP="003E2D5A">
            <w:pPr>
              <w:jc w:val="center"/>
              <w:rPr>
                <w:rFonts w:ascii="宋体" w:eastAsia="宋体" w:hAnsi="宋体"/>
                <w:szCs w:val="21"/>
              </w:rPr>
            </w:pPr>
            <w:r>
              <w:rPr>
                <w:rFonts w:ascii="宋体" w:eastAsia="宋体" w:hAnsi="宋体" w:hint="eastAsia"/>
                <w:szCs w:val="21"/>
              </w:rPr>
              <w:t>6</w:t>
            </w:r>
          </w:p>
        </w:tc>
        <w:tc>
          <w:tcPr>
            <w:tcW w:w="1704" w:type="dxa"/>
          </w:tcPr>
          <w:p w14:paraId="55246D9C"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718DD3BC" w14:textId="77777777" w:rsidR="006304C3" w:rsidRDefault="006304C3" w:rsidP="003E2D5A">
            <w:pPr>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1705" w:type="dxa"/>
            <w:vAlign w:val="center"/>
          </w:tcPr>
          <w:p w14:paraId="6900B9DF" w14:textId="77777777" w:rsidR="006304C3" w:rsidRDefault="006304C3" w:rsidP="003E2D5A">
            <w:pPr>
              <w:jc w:val="center"/>
              <w:rPr>
                <w:rFonts w:ascii="宋体" w:eastAsia="宋体" w:hAnsi="宋体"/>
                <w:szCs w:val="21"/>
              </w:rPr>
            </w:pPr>
            <w:r>
              <w:rPr>
                <w:rFonts w:ascii="宋体" w:eastAsia="宋体" w:hAnsi="宋体"/>
                <w:szCs w:val="21"/>
              </w:rPr>
              <w:t>524</w:t>
            </w:r>
          </w:p>
        </w:tc>
        <w:tc>
          <w:tcPr>
            <w:tcW w:w="1705" w:type="dxa"/>
            <w:vAlign w:val="center"/>
          </w:tcPr>
          <w:p w14:paraId="5BE7937A" w14:textId="77777777" w:rsidR="006304C3" w:rsidRDefault="006304C3" w:rsidP="003E2D5A">
            <w:pPr>
              <w:jc w:val="center"/>
              <w:rPr>
                <w:rFonts w:ascii="宋体" w:eastAsia="宋体" w:hAnsi="宋体"/>
                <w:szCs w:val="21"/>
              </w:rPr>
            </w:pPr>
            <w:r>
              <w:rPr>
                <w:rFonts w:ascii="宋体" w:eastAsia="宋体" w:hAnsi="宋体"/>
                <w:szCs w:val="21"/>
              </w:rPr>
              <w:t>440183010003000101700</w:t>
            </w:r>
          </w:p>
        </w:tc>
      </w:tr>
      <w:tr w:rsidR="006304C3" w14:paraId="707875FD" w14:textId="77777777" w:rsidTr="003E2D5A">
        <w:tc>
          <w:tcPr>
            <w:tcW w:w="1704" w:type="dxa"/>
            <w:vAlign w:val="center"/>
          </w:tcPr>
          <w:p w14:paraId="6140A1A5" w14:textId="77777777" w:rsidR="006304C3" w:rsidRDefault="006304C3" w:rsidP="003E2D5A">
            <w:pPr>
              <w:jc w:val="center"/>
              <w:rPr>
                <w:rFonts w:ascii="宋体" w:eastAsia="宋体" w:hAnsi="宋体"/>
                <w:szCs w:val="21"/>
              </w:rPr>
            </w:pPr>
            <w:r>
              <w:rPr>
                <w:rFonts w:ascii="宋体" w:eastAsia="宋体" w:hAnsi="宋体" w:hint="eastAsia"/>
                <w:szCs w:val="21"/>
              </w:rPr>
              <w:t>7</w:t>
            </w:r>
          </w:p>
        </w:tc>
        <w:tc>
          <w:tcPr>
            <w:tcW w:w="1704" w:type="dxa"/>
          </w:tcPr>
          <w:p w14:paraId="07861235" w14:textId="77777777" w:rsidR="006304C3" w:rsidRDefault="006304C3" w:rsidP="003E2D5A">
            <w:pPr>
              <w:jc w:val="center"/>
              <w:rPr>
                <w:rFonts w:ascii="宋体" w:eastAsia="宋体" w:hAnsi="宋体"/>
                <w:szCs w:val="21"/>
              </w:rPr>
            </w:pPr>
            <w:r>
              <w:rPr>
                <w:rFonts w:ascii="宋体" w:eastAsia="宋体" w:hAnsi="宋体" w:hint="eastAsia"/>
                <w:szCs w:val="21"/>
              </w:rPr>
              <w:t>大封门林场</w:t>
            </w:r>
          </w:p>
        </w:tc>
        <w:tc>
          <w:tcPr>
            <w:tcW w:w="1704" w:type="dxa"/>
          </w:tcPr>
          <w:p w14:paraId="3D7537DF" w14:textId="77777777" w:rsidR="006304C3" w:rsidRDefault="006304C3" w:rsidP="003E2D5A">
            <w:pPr>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1705" w:type="dxa"/>
            <w:vAlign w:val="center"/>
          </w:tcPr>
          <w:p w14:paraId="54ED3DD4" w14:textId="77777777" w:rsidR="006304C3" w:rsidRDefault="006304C3" w:rsidP="003E2D5A">
            <w:pPr>
              <w:jc w:val="center"/>
              <w:rPr>
                <w:rFonts w:ascii="宋体" w:eastAsia="宋体" w:hAnsi="宋体"/>
                <w:szCs w:val="21"/>
              </w:rPr>
            </w:pPr>
            <w:r>
              <w:rPr>
                <w:rFonts w:ascii="宋体" w:eastAsia="宋体" w:hAnsi="宋体"/>
                <w:szCs w:val="21"/>
              </w:rPr>
              <w:t>842.5</w:t>
            </w:r>
          </w:p>
        </w:tc>
        <w:tc>
          <w:tcPr>
            <w:tcW w:w="1705" w:type="dxa"/>
            <w:vAlign w:val="center"/>
          </w:tcPr>
          <w:p w14:paraId="2C69C35C" w14:textId="77777777" w:rsidR="006304C3" w:rsidRDefault="006304C3" w:rsidP="003E2D5A">
            <w:pPr>
              <w:jc w:val="center"/>
              <w:rPr>
                <w:rFonts w:ascii="宋体" w:eastAsia="宋体" w:hAnsi="宋体"/>
                <w:szCs w:val="21"/>
              </w:rPr>
            </w:pPr>
            <w:r>
              <w:rPr>
                <w:rFonts w:ascii="宋体" w:eastAsia="宋体" w:hAnsi="宋体"/>
                <w:szCs w:val="21"/>
              </w:rPr>
              <w:t>440183010003000102201</w:t>
            </w:r>
          </w:p>
        </w:tc>
      </w:tr>
    </w:tbl>
    <w:p w14:paraId="58535562" w14:textId="77777777" w:rsidR="006304C3" w:rsidRDefault="006304C3" w:rsidP="006304C3">
      <w:pPr>
        <w:rPr>
          <w:rFonts w:ascii="宋体" w:eastAsia="宋体" w:hAnsi="宋体"/>
          <w:szCs w:val="21"/>
        </w:rPr>
      </w:pPr>
    </w:p>
    <w:p w14:paraId="0FFF6ECA"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五、作业设计类型</w:t>
      </w:r>
    </w:p>
    <w:p w14:paraId="5549FB3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根据森林的不同功能，分类施策，高标准、全方位谋划推进森林质量精准提升工作。在公益林地，重点构建合理的林分结构，提升森林的物种多样性和稳定性；在商品林地，重点培育大径级用材林、木本油料经济林、生物质能源林，提供优质木材和</w:t>
      </w:r>
      <w:proofErr w:type="gramStart"/>
      <w:r>
        <w:rPr>
          <w:rFonts w:ascii="宋体" w:eastAsia="宋体" w:hAnsi="宋体" w:hint="eastAsia"/>
          <w:szCs w:val="21"/>
        </w:rPr>
        <w:t>林特产</w:t>
      </w:r>
      <w:proofErr w:type="gramEnd"/>
      <w:r>
        <w:rPr>
          <w:rFonts w:ascii="宋体" w:eastAsia="宋体" w:hAnsi="宋体" w:hint="eastAsia"/>
          <w:szCs w:val="21"/>
        </w:rPr>
        <w:t>品，保障木材供给和粮油安全，发挥商品林经济效益，提升林地产出率，提升优质林产品经济价值。</w:t>
      </w:r>
    </w:p>
    <w:p w14:paraId="12378A4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本次培育作业小班选在增城区大封门林场，包括东坑工区00700、00200、00100、01100 小班，佛</w:t>
      </w:r>
      <w:proofErr w:type="gramStart"/>
      <w:r>
        <w:rPr>
          <w:rFonts w:ascii="宋体" w:eastAsia="宋体" w:hAnsi="宋体" w:hint="eastAsia"/>
          <w:szCs w:val="21"/>
        </w:rPr>
        <w:t>坳</w:t>
      </w:r>
      <w:proofErr w:type="gramEnd"/>
      <w:r>
        <w:rPr>
          <w:rFonts w:ascii="宋体" w:eastAsia="宋体" w:hAnsi="宋体" w:hint="eastAsia"/>
          <w:szCs w:val="21"/>
        </w:rPr>
        <w:t xml:space="preserve">工区 02300、01700、02201 小班，共 7 </w:t>
      </w:r>
      <w:proofErr w:type="gramStart"/>
      <w:r>
        <w:rPr>
          <w:rFonts w:ascii="宋体" w:eastAsia="宋体" w:hAnsi="宋体" w:hint="eastAsia"/>
          <w:szCs w:val="21"/>
        </w:rPr>
        <w:t>个</w:t>
      </w:r>
      <w:proofErr w:type="gramEnd"/>
      <w:r>
        <w:rPr>
          <w:rFonts w:ascii="宋体" w:eastAsia="宋体" w:hAnsi="宋体" w:hint="eastAsia"/>
          <w:szCs w:val="21"/>
        </w:rPr>
        <w:t>作业小班，培育面积 5164.5 亩，各小班培育类型均为具有大径材培育潜力的水土涵养森林，详见附表 5-1。</w:t>
      </w:r>
    </w:p>
    <w:p w14:paraId="77BFC391" w14:textId="77777777" w:rsidR="006304C3" w:rsidRDefault="006304C3" w:rsidP="006304C3">
      <w:pPr>
        <w:spacing w:line="360" w:lineRule="auto"/>
        <w:rPr>
          <w:rFonts w:ascii="宋体" w:eastAsia="宋体" w:hAnsi="宋体"/>
          <w:szCs w:val="21"/>
        </w:rPr>
      </w:pPr>
      <w:r>
        <w:rPr>
          <w:rFonts w:ascii="宋体" w:eastAsia="宋体" w:hAnsi="宋体"/>
          <w:noProof/>
          <w:szCs w:val="21"/>
        </w:rPr>
        <w:drawing>
          <wp:inline distT="0" distB="0" distL="0" distR="0" wp14:anchorId="20BA6524" wp14:editId="29C6DA0B">
            <wp:extent cx="6146165" cy="3726815"/>
            <wp:effectExtent l="0" t="0" r="6985" b="6985"/>
            <wp:docPr id="1090046602"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0046602" name="图片 1" descr="表格&#10;&#10;描述已自动生成"/>
                    <pic:cNvPicPr>
                      <a:picLocks noChangeAspect="1"/>
                    </pic:cNvPicPr>
                  </pic:nvPicPr>
                  <pic:blipFill>
                    <a:blip r:embed="rId8"/>
                    <a:stretch>
                      <a:fillRect/>
                    </a:stretch>
                  </pic:blipFill>
                  <pic:spPr>
                    <a:xfrm>
                      <a:off x="0" y="0"/>
                      <a:ext cx="6155388" cy="3732807"/>
                    </a:xfrm>
                    <a:prstGeom prst="rect">
                      <a:avLst/>
                    </a:prstGeom>
                  </pic:spPr>
                </pic:pic>
              </a:graphicData>
            </a:graphic>
          </wp:inline>
        </w:drawing>
      </w:r>
    </w:p>
    <w:p w14:paraId="12BE775B" w14:textId="77777777" w:rsidR="006304C3" w:rsidRDefault="006304C3" w:rsidP="006304C3">
      <w:pPr>
        <w:spacing w:line="360" w:lineRule="auto"/>
        <w:rPr>
          <w:rFonts w:ascii="宋体" w:eastAsia="宋体" w:hAnsi="宋体"/>
          <w:szCs w:val="21"/>
        </w:rPr>
      </w:pPr>
      <w:r>
        <w:rPr>
          <w:rFonts w:ascii="宋体" w:eastAsia="宋体" w:hAnsi="宋体"/>
          <w:noProof/>
          <w:szCs w:val="21"/>
        </w:rPr>
        <w:lastRenderedPageBreak/>
        <w:drawing>
          <wp:inline distT="0" distB="0" distL="0" distR="0" wp14:anchorId="4CA798CF" wp14:editId="549E1B9C">
            <wp:extent cx="6108700" cy="2394585"/>
            <wp:effectExtent l="0" t="0" r="6350" b="5715"/>
            <wp:docPr id="1180951843" name="图片 1"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951843" name="图片 1" descr="图片包含 图示&#10;&#10;描述已自动生成"/>
                    <pic:cNvPicPr>
                      <a:picLocks noChangeAspect="1"/>
                    </pic:cNvPicPr>
                  </pic:nvPicPr>
                  <pic:blipFill>
                    <a:blip r:embed="rId9"/>
                    <a:stretch>
                      <a:fillRect/>
                    </a:stretch>
                  </pic:blipFill>
                  <pic:spPr>
                    <a:xfrm>
                      <a:off x="0" y="0"/>
                      <a:ext cx="6120934" cy="2399442"/>
                    </a:xfrm>
                    <a:prstGeom prst="rect">
                      <a:avLst/>
                    </a:prstGeom>
                  </pic:spPr>
                </pic:pic>
              </a:graphicData>
            </a:graphic>
          </wp:inline>
        </w:drawing>
      </w:r>
    </w:p>
    <w:p w14:paraId="2FF5A445" w14:textId="77777777" w:rsidR="006304C3" w:rsidRDefault="006304C3" w:rsidP="006304C3">
      <w:pPr>
        <w:spacing w:line="360" w:lineRule="auto"/>
        <w:rPr>
          <w:rFonts w:ascii="宋体" w:eastAsia="宋体" w:hAnsi="宋体"/>
          <w:szCs w:val="21"/>
        </w:rPr>
      </w:pPr>
      <w:r>
        <w:rPr>
          <w:rFonts w:ascii="宋体" w:eastAsia="宋体" w:hAnsi="宋体"/>
          <w:noProof/>
          <w:szCs w:val="21"/>
        </w:rPr>
        <w:drawing>
          <wp:inline distT="0" distB="0" distL="0" distR="0" wp14:anchorId="5096046A" wp14:editId="2634410F">
            <wp:extent cx="6122035" cy="3295650"/>
            <wp:effectExtent l="0" t="0" r="0" b="0"/>
            <wp:docPr id="1729805395" name="图片 1" descr="表格, 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9805395" name="图片 1" descr="表格, 日历&#10;&#10;描述已自动生成"/>
                    <pic:cNvPicPr>
                      <a:picLocks noChangeAspect="1"/>
                    </pic:cNvPicPr>
                  </pic:nvPicPr>
                  <pic:blipFill>
                    <a:blip r:embed="rId10"/>
                    <a:stretch>
                      <a:fillRect/>
                    </a:stretch>
                  </pic:blipFill>
                  <pic:spPr>
                    <a:xfrm>
                      <a:off x="0" y="0"/>
                      <a:ext cx="6131853" cy="3301426"/>
                    </a:xfrm>
                    <a:prstGeom prst="rect">
                      <a:avLst/>
                    </a:prstGeom>
                  </pic:spPr>
                </pic:pic>
              </a:graphicData>
            </a:graphic>
          </wp:inline>
        </w:drawing>
      </w:r>
    </w:p>
    <w:p w14:paraId="7DABA61B" w14:textId="77777777" w:rsidR="006304C3" w:rsidRDefault="006304C3" w:rsidP="006304C3">
      <w:pPr>
        <w:spacing w:line="360" w:lineRule="auto"/>
        <w:rPr>
          <w:rFonts w:ascii="宋体" w:eastAsia="宋体" w:hAnsi="宋体"/>
          <w:szCs w:val="21"/>
        </w:rPr>
      </w:pPr>
      <w:r>
        <w:rPr>
          <w:rFonts w:ascii="宋体" w:eastAsia="宋体" w:hAnsi="宋体"/>
          <w:noProof/>
          <w:szCs w:val="21"/>
        </w:rPr>
        <w:drawing>
          <wp:inline distT="0" distB="0" distL="0" distR="0" wp14:anchorId="3DB09B2A" wp14:editId="3B3D755F">
            <wp:extent cx="6122035" cy="2312670"/>
            <wp:effectExtent l="0" t="0" r="0" b="0"/>
            <wp:docPr id="2053898590" name="图片 1" descr="日历&#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898590" name="图片 1" descr="日历&#10;&#10;低可信度描述已自动生成"/>
                    <pic:cNvPicPr>
                      <a:picLocks noChangeAspect="1"/>
                    </pic:cNvPicPr>
                  </pic:nvPicPr>
                  <pic:blipFill>
                    <a:blip r:embed="rId11"/>
                    <a:stretch>
                      <a:fillRect/>
                    </a:stretch>
                  </pic:blipFill>
                  <pic:spPr>
                    <a:xfrm>
                      <a:off x="0" y="0"/>
                      <a:ext cx="6143178" cy="2320888"/>
                    </a:xfrm>
                    <a:prstGeom prst="rect">
                      <a:avLst/>
                    </a:prstGeom>
                  </pic:spPr>
                </pic:pic>
              </a:graphicData>
            </a:graphic>
          </wp:inline>
        </w:drawing>
      </w:r>
    </w:p>
    <w:p w14:paraId="3D105F1B" w14:textId="77777777" w:rsidR="006304C3" w:rsidRDefault="006304C3" w:rsidP="006304C3">
      <w:pPr>
        <w:spacing w:line="360" w:lineRule="auto"/>
        <w:ind w:firstLineChars="200" w:firstLine="420"/>
        <w:rPr>
          <w:rFonts w:ascii="宋体" w:eastAsia="宋体" w:hAnsi="宋体"/>
          <w:szCs w:val="21"/>
        </w:rPr>
      </w:pPr>
    </w:p>
    <w:p w14:paraId="381D6E0B"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lastRenderedPageBreak/>
        <w:t>六、主要技术措施</w:t>
      </w:r>
    </w:p>
    <w:p w14:paraId="5C1370A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按照《GB/T 15781森林抚育规程》、《广东省森林质量精准提升行动技术指南》（2023年1月）和《广州市森林质量优化提升工程技术指引（试行）》（2023年2月）执行。</w:t>
      </w:r>
    </w:p>
    <w:p w14:paraId="70D60D5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 抚育措施</w:t>
      </w:r>
    </w:p>
    <w:p w14:paraId="5ECA8571"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根据对各作业小班立地条件及现状的调查，作业小班中林木总体生长状况良好，且目标树种株数达到要求的林分，采用现有林提质培育建设方式，通过整形修枝、林地清理、抚育施肥和补植套种等技术措施，改善林分结构和生长条件，使林分质量和生长量能进一步提高。</w:t>
      </w:r>
    </w:p>
    <w:p w14:paraId="1A6E1AC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1.1 目标树标记</w:t>
      </w:r>
    </w:p>
    <w:p w14:paraId="0D068FF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选择目标树时，由技术人员带领工人去现场选定，并标注记号。</w:t>
      </w:r>
    </w:p>
    <w:p w14:paraId="4FCD2B9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1.2 整形修枝</w:t>
      </w:r>
    </w:p>
    <w:p w14:paraId="0D0D9F7D"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对作业小班的目标树种进行修枝与勾藤工作，保持目标树种有较好的生长空间，达到培养大径级森林、景观改造、提升森林质量的目的。修剪目标树种高度 1/3 </w:t>
      </w:r>
      <w:proofErr w:type="gramStart"/>
      <w:r>
        <w:rPr>
          <w:rFonts w:ascii="宋体" w:eastAsia="宋体" w:hAnsi="宋体" w:hint="eastAsia"/>
          <w:szCs w:val="21"/>
        </w:rPr>
        <w:t>米以下</w:t>
      </w:r>
      <w:proofErr w:type="gramEnd"/>
      <w:r>
        <w:rPr>
          <w:rFonts w:ascii="宋体" w:eastAsia="宋体" w:hAnsi="宋体" w:hint="eastAsia"/>
          <w:szCs w:val="21"/>
        </w:rPr>
        <w:t>的所有侧枝（树冠下部 1~2轮侧枝以及新萌发的枝芽），其中胸径 12-20cm 占 4 成，胸径 21cm以上占 6 成。枝桩尽量修平，剪口不能伤害树干的韧皮部和木质部。各作业小班采取的整形修枝措施详见表 6-1。</w:t>
      </w:r>
    </w:p>
    <w:p w14:paraId="5EAC4644"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6-1 作业小班整形修枝措施</w:t>
      </w:r>
    </w:p>
    <w:tbl>
      <w:tblPr>
        <w:tblStyle w:val="a7"/>
        <w:tblW w:w="8505" w:type="dxa"/>
        <w:jc w:val="center"/>
        <w:tblLook w:val="04A0" w:firstRow="1" w:lastRow="0" w:firstColumn="1" w:lastColumn="0" w:noHBand="0" w:noVBand="1"/>
      </w:tblPr>
      <w:tblGrid>
        <w:gridCol w:w="951"/>
        <w:gridCol w:w="1417"/>
        <w:gridCol w:w="851"/>
        <w:gridCol w:w="2410"/>
        <w:gridCol w:w="2876"/>
      </w:tblGrid>
      <w:tr w:rsidR="006304C3" w14:paraId="682A614B" w14:textId="77777777" w:rsidTr="003E2D5A">
        <w:trPr>
          <w:jc w:val="center"/>
        </w:trPr>
        <w:tc>
          <w:tcPr>
            <w:tcW w:w="951" w:type="dxa"/>
            <w:vAlign w:val="center"/>
          </w:tcPr>
          <w:p w14:paraId="12107FF7"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作业小班号</w:t>
            </w:r>
          </w:p>
        </w:tc>
        <w:tc>
          <w:tcPr>
            <w:tcW w:w="1417" w:type="dxa"/>
            <w:vAlign w:val="center"/>
          </w:tcPr>
          <w:p w14:paraId="1E09D15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镇(街/林场)</w:t>
            </w:r>
          </w:p>
        </w:tc>
        <w:tc>
          <w:tcPr>
            <w:tcW w:w="851" w:type="dxa"/>
            <w:vAlign w:val="center"/>
          </w:tcPr>
          <w:p w14:paraId="79B1C42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村/工区</w:t>
            </w:r>
          </w:p>
        </w:tc>
        <w:tc>
          <w:tcPr>
            <w:tcW w:w="2410" w:type="dxa"/>
            <w:vAlign w:val="center"/>
          </w:tcPr>
          <w:p w14:paraId="33C0326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地籍号</w:t>
            </w:r>
          </w:p>
        </w:tc>
        <w:tc>
          <w:tcPr>
            <w:tcW w:w="2876" w:type="dxa"/>
            <w:vAlign w:val="center"/>
          </w:tcPr>
          <w:p w14:paraId="6F59EEC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整形修枝措施</w:t>
            </w:r>
          </w:p>
        </w:tc>
      </w:tr>
      <w:tr w:rsidR="006304C3" w14:paraId="33BDAF7A" w14:textId="77777777" w:rsidTr="003E2D5A">
        <w:trPr>
          <w:jc w:val="center"/>
        </w:trPr>
        <w:tc>
          <w:tcPr>
            <w:tcW w:w="951" w:type="dxa"/>
            <w:vAlign w:val="center"/>
          </w:tcPr>
          <w:p w14:paraId="3CE37727"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p>
        </w:tc>
        <w:tc>
          <w:tcPr>
            <w:tcW w:w="1417" w:type="dxa"/>
            <w:vAlign w:val="center"/>
          </w:tcPr>
          <w:p w14:paraId="7D5EE52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3C8964F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10" w:type="dxa"/>
            <w:vAlign w:val="center"/>
          </w:tcPr>
          <w:p w14:paraId="7DF3AEF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440183010004000100700</w:t>
            </w:r>
          </w:p>
        </w:tc>
        <w:tc>
          <w:tcPr>
            <w:tcW w:w="2876" w:type="dxa"/>
            <w:vAlign w:val="center"/>
          </w:tcPr>
          <w:p w14:paraId="088D673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修剪目标树种1/3米以下的所有侧枝（树冠下部1~2轮侧枝以及新萌发的枝芽）、枯枝及藤蔓。平均修枝26株/亩。当年修枝1次，即2024年3-4月进行修枝</w:t>
            </w:r>
          </w:p>
        </w:tc>
      </w:tr>
      <w:tr w:rsidR="006304C3" w14:paraId="0F08CAF7" w14:textId="77777777" w:rsidTr="003E2D5A">
        <w:trPr>
          <w:jc w:val="center"/>
        </w:trPr>
        <w:tc>
          <w:tcPr>
            <w:tcW w:w="951" w:type="dxa"/>
            <w:vAlign w:val="center"/>
          </w:tcPr>
          <w:p w14:paraId="0F01B6E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2</w:t>
            </w:r>
          </w:p>
        </w:tc>
        <w:tc>
          <w:tcPr>
            <w:tcW w:w="1417" w:type="dxa"/>
            <w:vAlign w:val="center"/>
          </w:tcPr>
          <w:p w14:paraId="4FD1D497"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3FD5928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10" w:type="dxa"/>
            <w:vAlign w:val="center"/>
          </w:tcPr>
          <w:p w14:paraId="7F640210"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440183010004000100200</w:t>
            </w:r>
          </w:p>
        </w:tc>
        <w:tc>
          <w:tcPr>
            <w:tcW w:w="2876" w:type="dxa"/>
            <w:vAlign w:val="center"/>
          </w:tcPr>
          <w:p w14:paraId="3AB00DA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修剪目标树种1/3米以下的所有侧枝（树冠下部1~2轮侧枝以及新萌发的枝芽）、枯枝及藤蔓。平均修枝14株/亩。当年修枝1次，即2024年3-4月进行修枝</w:t>
            </w:r>
          </w:p>
        </w:tc>
      </w:tr>
      <w:tr w:rsidR="006304C3" w14:paraId="4A6FEBC1" w14:textId="77777777" w:rsidTr="003E2D5A">
        <w:trPr>
          <w:jc w:val="center"/>
        </w:trPr>
        <w:tc>
          <w:tcPr>
            <w:tcW w:w="951" w:type="dxa"/>
            <w:vAlign w:val="center"/>
          </w:tcPr>
          <w:p w14:paraId="5F5F0C8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3</w:t>
            </w:r>
          </w:p>
        </w:tc>
        <w:tc>
          <w:tcPr>
            <w:tcW w:w="1417" w:type="dxa"/>
            <w:vAlign w:val="center"/>
          </w:tcPr>
          <w:p w14:paraId="5C710DC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782A90F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10" w:type="dxa"/>
            <w:vAlign w:val="center"/>
          </w:tcPr>
          <w:p w14:paraId="14082F5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440183010004000100100</w:t>
            </w:r>
          </w:p>
        </w:tc>
        <w:tc>
          <w:tcPr>
            <w:tcW w:w="2876" w:type="dxa"/>
            <w:vAlign w:val="center"/>
          </w:tcPr>
          <w:p w14:paraId="190E08A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修剪目标树种1/3米以下的所有侧枝（树冠下部1~2轮侧枝以及新萌发的枝芽）、枯枝及藤蔓。平均修枝16株/亩。当年修枝1次，即2024年3-4月进行修枝</w:t>
            </w:r>
          </w:p>
        </w:tc>
      </w:tr>
      <w:tr w:rsidR="006304C3" w14:paraId="0729D552" w14:textId="77777777" w:rsidTr="003E2D5A">
        <w:trPr>
          <w:jc w:val="center"/>
        </w:trPr>
        <w:tc>
          <w:tcPr>
            <w:tcW w:w="951" w:type="dxa"/>
            <w:vAlign w:val="center"/>
          </w:tcPr>
          <w:p w14:paraId="42B41E3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lastRenderedPageBreak/>
              <w:t>4</w:t>
            </w:r>
          </w:p>
        </w:tc>
        <w:tc>
          <w:tcPr>
            <w:tcW w:w="1417" w:type="dxa"/>
            <w:vAlign w:val="center"/>
          </w:tcPr>
          <w:p w14:paraId="12F7C1F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45D87A4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10" w:type="dxa"/>
            <w:vAlign w:val="center"/>
          </w:tcPr>
          <w:p w14:paraId="1CD8621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440183010004000101100</w:t>
            </w:r>
          </w:p>
        </w:tc>
        <w:tc>
          <w:tcPr>
            <w:tcW w:w="2876" w:type="dxa"/>
            <w:vAlign w:val="center"/>
          </w:tcPr>
          <w:p w14:paraId="3438EEB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修剪目标树种1/3米以下的所有侧枝（树冠下部1~2轮侧枝以及新萌发的枝芽）、枯枝及藤蔓。平均修枝24株/亩。当年修枝1次，即2024年3-4月进行修枝</w:t>
            </w:r>
          </w:p>
        </w:tc>
      </w:tr>
      <w:tr w:rsidR="006304C3" w14:paraId="0A4E9079" w14:textId="77777777" w:rsidTr="003E2D5A">
        <w:trPr>
          <w:jc w:val="center"/>
        </w:trPr>
        <w:tc>
          <w:tcPr>
            <w:tcW w:w="951" w:type="dxa"/>
            <w:vAlign w:val="center"/>
          </w:tcPr>
          <w:p w14:paraId="6AE9562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5</w:t>
            </w:r>
          </w:p>
        </w:tc>
        <w:tc>
          <w:tcPr>
            <w:tcW w:w="1417" w:type="dxa"/>
            <w:vAlign w:val="center"/>
          </w:tcPr>
          <w:p w14:paraId="149BB65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34AF183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10" w:type="dxa"/>
            <w:vAlign w:val="center"/>
          </w:tcPr>
          <w:p w14:paraId="3C411CC5"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440183010003000102300</w:t>
            </w:r>
          </w:p>
        </w:tc>
        <w:tc>
          <w:tcPr>
            <w:tcW w:w="2876" w:type="dxa"/>
            <w:vAlign w:val="center"/>
          </w:tcPr>
          <w:p w14:paraId="28F9982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修剪目标树种1/3米以下的所有侧枝（树冠下部1~2轮侧枝以及新萌发的枝芽）、枯枝及藤蔓。平均修枝24株/亩。当年修枝1次，即2024年3-4月进行修枝</w:t>
            </w:r>
          </w:p>
        </w:tc>
      </w:tr>
      <w:tr w:rsidR="006304C3" w14:paraId="2B47864D" w14:textId="77777777" w:rsidTr="003E2D5A">
        <w:trPr>
          <w:jc w:val="center"/>
        </w:trPr>
        <w:tc>
          <w:tcPr>
            <w:tcW w:w="951" w:type="dxa"/>
            <w:vAlign w:val="center"/>
          </w:tcPr>
          <w:p w14:paraId="03091AF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6</w:t>
            </w:r>
          </w:p>
        </w:tc>
        <w:tc>
          <w:tcPr>
            <w:tcW w:w="1417" w:type="dxa"/>
            <w:vAlign w:val="center"/>
          </w:tcPr>
          <w:p w14:paraId="0F5B771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42F4FB5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10" w:type="dxa"/>
            <w:vAlign w:val="center"/>
          </w:tcPr>
          <w:p w14:paraId="4B5AE962"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440183010003000101700</w:t>
            </w:r>
          </w:p>
        </w:tc>
        <w:tc>
          <w:tcPr>
            <w:tcW w:w="2876" w:type="dxa"/>
            <w:vAlign w:val="center"/>
          </w:tcPr>
          <w:p w14:paraId="79B837F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修剪目标树种1/3米以下的所有侧枝（树冠下部1~2轮侧枝以及新萌发的枝芽）、枯枝及藤蔓。平均修枝26株/亩。当年修枝1次，即2024年3-4月进行修枝</w:t>
            </w:r>
          </w:p>
        </w:tc>
      </w:tr>
      <w:tr w:rsidR="006304C3" w14:paraId="0313A7A3" w14:textId="77777777" w:rsidTr="003E2D5A">
        <w:trPr>
          <w:jc w:val="center"/>
        </w:trPr>
        <w:tc>
          <w:tcPr>
            <w:tcW w:w="951" w:type="dxa"/>
            <w:vAlign w:val="center"/>
          </w:tcPr>
          <w:p w14:paraId="71F7F8C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7</w:t>
            </w:r>
          </w:p>
        </w:tc>
        <w:tc>
          <w:tcPr>
            <w:tcW w:w="1417" w:type="dxa"/>
            <w:vAlign w:val="center"/>
          </w:tcPr>
          <w:p w14:paraId="5110156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51" w:type="dxa"/>
            <w:vAlign w:val="center"/>
          </w:tcPr>
          <w:p w14:paraId="7112F1B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10" w:type="dxa"/>
            <w:vAlign w:val="center"/>
          </w:tcPr>
          <w:p w14:paraId="7ECF70E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440183010003000102201</w:t>
            </w:r>
          </w:p>
        </w:tc>
        <w:tc>
          <w:tcPr>
            <w:tcW w:w="2876" w:type="dxa"/>
            <w:vAlign w:val="center"/>
          </w:tcPr>
          <w:p w14:paraId="772C8C6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修剪目标树种1/3米以下的所有侧枝（树冠下部1~2轮侧枝以及新萌发的枝芽）、枯枝及藤蔓。平均修枝16株/亩。当年修枝1次，即2024年3-4月进行修枝</w:t>
            </w:r>
          </w:p>
        </w:tc>
      </w:tr>
    </w:tbl>
    <w:p w14:paraId="2412C5B3" w14:textId="77777777" w:rsidR="006304C3" w:rsidRDefault="006304C3" w:rsidP="006304C3">
      <w:pPr>
        <w:spacing w:line="360" w:lineRule="auto"/>
        <w:rPr>
          <w:rFonts w:ascii="宋体" w:eastAsia="宋体" w:hAnsi="宋体"/>
          <w:szCs w:val="21"/>
        </w:rPr>
      </w:pPr>
    </w:p>
    <w:p w14:paraId="7F372151"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（1）机械修枝。机械修枝是采用汽油高枝</w:t>
      </w:r>
      <w:proofErr w:type="gramStart"/>
      <w:r>
        <w:rPr>
          <w:rFonts w:ascii="宋体" w:eastAsia="宋体" w:hAnsi="宋体" w:hint="eastAsia"/>
          <w:szCs w:val="21"/>
        </w:rPr>
        <w:t>锯</w:t>
      </w:r>
      <w:proofErr w:type="gramEnd"/>
      <w:r>
        <w:rPr>
          <w:rFonts w:ascii="宋体" w:eastAsia="宋体" w:hAnsi="宋体" w:hint="eastAsia"/>
          <w:szCs w:val="21"/>
        </w:rPr>
        <w:t>进行修枝，主要是针对枝条较大、难修剪的枝条，提高修剪效率。</w:t>
      </w:r>
    </w:p>
    <w:p w14:paraId="0106279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（2）人工修枝。人工修枝使用高枝剪或手锯对枝条较小、漏修剪的枝条进行修枝。人工修枝可分为 2 种，一种干修，即去掉树干下部枯死的枝条；二是绿修，</w:t>
      </w:r>
      <w:proofErr w:type="gramStart"/>
      <w:r>
        <w:rPr>
          <w:rFonts w:ascii="宋体" w:eastAsia="宋体" w:hAnsi="宋体" w:hint="eastAsia"/>
          <w:szCs w:val="21"/>
        </w:rPr>
        <w:t>修除活的</w:t>
      </w:r>
      <w:proofErr w:type="gramEnd"/>
      <w:r>
        <w:rPr>
          <w:rFonts w:ascii="宋体" w:eastAsia="宋体" w:hAnsi="宋体" w:hint="eastAsia"/>
          <w:szCs w:val="21"/>
        </w:rPr>
        <w:t>或生长衰弱的枝条。干修是对被修树木无害的一种措施，而</w:t>
      </w:r>
      <w:proofErr w:type="gramStart"/>
      <w:r>
        <w:rPr>
          <w:rFonts w:ascii="宋体" w:eastAsia="宋体" w:hAnsi="宋体" w:hint="eastAsia"/>
          <w:szCs w:val="21"/>
        </w:rPr>
        <w:t>绿修则</w:t>
      </w:r>
      <w:proofErr w:type="gramEnd"/>
      <w:r>
        <w:rPr>
          <w:rFonts w:ascii="宋体" w:eastAsia="宋体" w:hAnsi="宋体" w:hint="eastAsia"/>
          <w:szCs w:val="21"/>
        </w:rPr>
        <w:t>会对木材的质量和林木的健康产生不同程度的影响。</w:t>
      </w:r>
      <w:proofErr w:type="gramStart"/>
      <w:r>
        <w:rPr>
          <w:rFonts w:ascii="宋体" w:eastAsia="宋体" w:hAnsi="宋体" w:hint="eastAsia"/>
          <w:szCs w:val="21"/>
        </w:rPr>
        <w:t>干修可采用</w:t>
      </w:r>
      <w:proofErr w:type="gramEnd"/>
      <w:r>
        <w:rPr>
          <w:rFonts w:ascii="宋体" w:eastAsia="宋体" w:hAnsi="宋体" w:hint="eastAsia"/>
          <w:szCs w:val="21"/>
        </w:rPr>
        <w:t>棍棒，将枯死枝条齐基部击落，快速而方便，伤口也像在自然整枝条件下那样易于愈合。亦可用细齿锯锯切，切面要平整，而不出现劈裂现象，锯切的节疤，虽然愈伤较慢，但节疤会逐渐向内萎缩。</w:t>
      </w:r>
      <w:proofErr w:type="gramStart"/>
      <w:r>
        <w:rPr>
          <w:rFonts w:ascii="宋体" w:eastAsia="宋体" w:hAnsi="宋体" w:hint="eastAsia"/>
          <w:szCs w:val="21"/>
        </w:rPr>
        <w:t>绿修必须</w:t>
      </w:r>
      <w:proofErr w:type="gramEnd"/>
      <w:r>
        <w:rPr>
          <w:rFonts w:ascii="宋体" w:eastAsia="宋体" w:hAnsi="宋体" w:hint="eastAsia"/>
          <w:szCs w:val="21"/>
        </w:rPr>
        <w:t>使用合适的锯子，根据林木的实际情况，可以投入汽油高枝锯、高枝剪或手锯用以进行绿修。</w:t>
      </w:r>
    </w:p>
    <w:p w14:paraId="6429E62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（3）人工勾藤。对目标树种吊挂的藤蔓可用高枝剪或镰刀进行勾除，并把勾除下来的藤蔓清理</w:t>
      </w:r>
      <w:r>
        <w:rPr>
          <w:rFonts w:ascii="宋体" w:eastAsia="宋体" w:hAnsi="宋体" w:hint="eastAsia"/>
          <w:szCs w:val="21"/>
        </w:rPr>
        <w:lastRenderedPageBreak/>
        <w:t>干净</w:t>
      </w:r>
    </w:p>
    <w:p w14:paraId="366E801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1.3 林地清理</w:t>
      </w:r>
    </w:p>
    <w:p w14:paraId="4835D511"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清除</w:t>
      </w:r>
      <w:proofErr w:type="gramStart"/>
      <w:r>
        <w:rPr>
          <w:rFonts w:ascii="宋体" w:eastAsia="宋体" w:hAnsi="宋体" w:hint="eastAsia"/>
          <w:szCs w:val="21"/>
        </w:rPr>
        <w:t>枯</w:t>
      </w:r>
      <w:proofErr w:type="gramEnd"/>
      <w:r>
        <w:rPr>
          <w:rFonts w:ascii="宋体" w:eastAsia="宋体" w:hAnsi="宋体" w:hint="eastAsia"/>
          <w:szCs w:val="21"/>
        </w:rPr>
        <w:t xml:space="preserve">倒木、枯枝和和妨碍目的树种（2 米*2 </w:t>
      </w:r>
      <w:proofErr w:type="gramStart"/>
      <w:r>
        <w:rPr>
          <w:rFonts w:ascii="宋体" w:eastAsia="宋体" w:hAnsi="宋体" w:hint="eastAsia"/>
          <w:szCs w:val="21"/>
        </w:rPr>
        <w:t>米范围</w:t>
      </w:r>
      <w:proofErr w:type="gramEnd"/>
      <w:r>
        <w:rPr>
          <w:rFonts w:ascii="宋体" w:eastAsia="宋体" w:hAnsi="宋体" w:hint="eastAsia"/>
          <w:szCs w:val="21"/>
        </w:rPr>
        <w:t>内）生长的草灌、藤蔓（珍稀树种除外），清理出林分生长空间或林中空地，清杂集中，搬离块状施工范围。清理时应注重保护珍稀濒危植物、国家重点保护树种、</w:t>
      </w:r>
      <w:proofErr w:type="gramStart"/>
      <w:r>
        <w:rPr>
          <w:rFonts w:ascii="宋体" w:eastAsia="宋体" w:hAnsi="宋体" w:hint="eastAsia"/>
          <w:szCs w:val="21"/>
        </w:rPr>
        <w:t>林窗处</w:t>
      </w:r>
      <w:proofErr w:type="gramEnd"/>
      <w:r>
        <w:rPr>
          <w:rFonts w:ascii="宋体" w:eastAsia="宋体" w:hAnsi="宋体" w:hint="eastAsia"/>
          <w:szCs w:val="21"/>
        </w:rPr>
        <w:t>的幼树幼苗以及林下有生长潜力的幼树幼苗。草灌、藤本清除后均匀散铺在非目的树种地表上，让其自然腐烂，经土壤微生物分解，补充林地土壤养分，促进目标树种正常生长。各作业小班采取的林地清理措施详见表 6-2。</w:t>
      </w:r>
    </w:p>
    <w:p w14:paraId="543BC2A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注：目前已知珍稀树种有：桫椤、粘木、福建柏、长叶竹柏、八角莲、</w:t>
      </w:r>
      <w:proofErr w:type="gramStart"/>
      <w:r>
        <w:rPr>
          <w:rFonts w:ascii="宋体" w:eastAsia="宋体" w:hAnsi="宋体" w:hint="eastAsia"/>
          <w:szCs w:val="21"/>
        </w:rPr>
        <w:t>吊皮锥</w:t>
      </w:r>
      <w:proofErr w:type="gramEnd"/>
      <w:r>
        <w:rPr>
          <w:rFonts w:ascii="宋体" w:eastAsia="宋体" w:hAnsi="宋体" w:hint="eastAsia"/>
          <w:szCs w:val="21"/>
        </w:rPr>
        <w:t>、红椿、白桂木、巴戟天、绣球</w:t>
      </w:r>
      <w:proofErr w:type="gramStart"/>
      <w:r>
        <w:rPr>
          <w:rFonts w:ascii="宋体" w:eastAsia="宋体" w:hAnsi="宋体" w:hint="eastAsia"/>
          <w:szCs w:val="21"/>
        </w:rPr>
        <w:t>茜</w:t>
      </w:r>
      <w:proofErr w:type="gramEnd"/>
      <w:r>
        <w:rPr>
          <w:rFonts w:ascii="宋体" w:eastAsia="宋体" w:hAnsi="宋体" w:hint="eastAsia"/>
          <w:szCs w:val="21"/>
        </w:rPr>
        <w:t>、金毛狗、水蕨、乌毛蕨科、建兰、墨兰、高斑叶兰、橙黄玉凤花、黄花鹤顶兰、绶草（盘龙参）、竹叶兰等。</w:t>
      </w:r>
    </w:p>
    <w:p w14:paraId="13A7FDA1"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6-2 作业小班林地清理措施</w:t>
      </w:r>
    </w:p>
    <w:tbl>
      <w:tblPr>
        <w:tblStyle w:val="a7"/>
        <w:tblW w:w="8505" w:type="dxa"/>
        <w:jc w:val="center"/>
        <w:tblLook w:val="04A0" w:firstRow="1" w:lastRow="0" w:firstColumn="1" w:lastColumn="0" w:noHBand="0" w:noVBand="1"/>
      </w:tblPr>
      <w:tblGrid>
        <w:gridCol w:w="946"/>
        <w:gridCol w:w="1408"/>
        <w:gridCol w:w="847"/>
        <w:gridCol w:w="2452"/>
        <w:gridCol w:w="2852"/>
      </w:tblGrid>
      <w:tr w:rsidR="006304C3" w14:paraId="59B48F31" w14:textId="77777777" w:rsidTr="003E2D5A">
        <w:trPr>
          <w:jc w:val="center"/>
        </w:trPr>
        <w:tc>
          <w:tcPr>
            <w:tcW w:w="946" w:type="dxa"/>
            <w:vAlign w:val="center"/>
          </w:tcPr>
          <w:p w14:paraId="2EB9C55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作业小班号</w:t>
            </w:r>
          </w:p>
        </w:tc>
        <w:tc>
          <w:tcPr>
            <w:tcW w:w="1408" w:type="dxa"/>
            <w:vAlign w:val="center"/>
          </w:tcPr>
          <w:p w14:paraId="27D512E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镇(街/林场)</w:t>
            </w:r>
          </w:p>
        </w:tc>
        <w:tc>
          <w:tcPr>
            <w:tcW w:w="847" w:type="dxa"/>
            <w:vAlign w:val="center"/>
          </w:tcPr>
          <w:p w14:paraId="3443999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村/工区</w:t>
            </w:r>
          </w:p>
        </w:tc>
        <w:tc>
          <w:tcPr>
            <w:tcW w:w="2452" w:type="dxa"/>
            <w:vAlign w:val="center"/>
          </w:tcPr>
          <w:p w14:paraId="2066FB2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地籍号</w:t>
            </w:r>
          </w:p>
        </w:tc>
        <w:tc>
          <w:tcPr>
            <w:tcW w:w="2852" w:type="dxa"/>
            <w:vAlign w:val="center"/>
          </w:tcPr>
          <w:p w14:paraId="29BD2EA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整形修枝措施</w:t>
            </w:r>
          </w:p>
        </w:tc>
      </w:tr>
      <w:tr w:rsidR="006304C3" w14:paraId="5C379B95" w14:textId="77777777" w:rsidTr="003E2D5A">
        <w:trPr>
          <w:jc w:val="center"/>
        </w:trPr>
        <w:tc>
          <w:tcPr>
            <w:tcW w:w="946" w:type="dxa"/>
            <w:vAlign w:val="center"/>
          </w:tcPr>
          <w:p w14:paraId="7EE63DA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p>
        </w:tc>
        <w:tc>
          <w:tcPr>
            <w:tcW w:w="1408" w:type="dxa"/>
            <w:vAlign w:val="center"/>
          </w:tcPr>
          <w:p w14:paraId="61D88E0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4BCE8D1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4E08B687"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440183010004000100700</w:t>
            </w:r>
          </w:p>
        </w:tc>
        <w:tc>
          <w:tcPr>
            <w:tcW w:w="2852" w:type="dxa"/>
            <w:vMerge w:val="restart"/>
            <w:vAlign w:val="center"/>
          </w:tcPr>
          <w:p w14:paraId="3F4F31D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 xml:space="preserve">清除妨碍目标树种下2米*2米范围内生长的草灌、藤蔓（珍稀树种除外）等，并进行松土整地，共清理7次。第一次清理时间在2024年3-4月（补植苗木前）；第二次至第七次清理在新补植苗木抚育管理期内，即2024年9-10 </w:t>
            </w:r>
            <w:proofErr w:type="gramStart"/>
            <w:r>
              <w:rPr>
                <w:rFonts w:ascii="宋体" w:eastAsia="宋体" w:hAnsi="宋体" w:hint="eastAsia"/>
                <w:szCs w:val="21"/>
              </w:rPr>
              <w:t>月清理</w:t>
            </w:r>
            <w:proofErr w:type="gramEnd"/>
            <w:r>
              <w:rPr>
                <w:rFonts w:ascii="宋体" w:eastAsia="宋体" w:hAnsi="宋体" w:hint="eastAsia"/>
                <w:szCs w:val="21"/>
              </w:rPr>
              <w:t>1次，2025-2026年4-5月、9-10月</w:t>
            </w:r>
            <w:proofErr w:type="gramStart"/>
            <w:r>
              <w:rPr>
                <w:rFonts w:ascii="宋体" w:eastAsia="宋体" w:hAnsi="宋体" w:hint="eastAsia"/>
                <w:szCs w:val="21"/>
              </w:rPr>
              <w:t>各清理</w:t>
            </w:r>
            <w:proofErr w:type="gramEnd"/>
            <w:r>
              <w:rPr>
                <w:rFonts w:ascii="宋体" w:eastAsia="宋体" w:hAnsi="宋体" w:hint="eastAsia"/>
                <w:szCs w:val="21"/>
              </w:rPr>
              <w:t>1次，共4次，2027 年4-5月清理1次。</w:t>
            </w:r>
          </w:p>
        </w:tc>
      </w:tr>
      <w:tr w:rsidR="006304C3" w14:paraId="0447A307" w14:textId="77777777" w:rsidTr="003E2D5A">
        <w:trPr>
          <w:jc w:val="center"/>
        </w:trPr>
        <w:tc>
          <w:tcPr>
            <w:tcW w:w="946" w:type="dxa"/>
            <w:vAlign w:val="center"/>
          </w:tcPr>
          <w:p w14:paraId="5C588FD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2</w:t>
            </w:r>
          </w:p>
        </w:tc>
        <w:tc>
          <w:tcPr>
            <w:tcW w:w="1408" w:type="dxa"/>
            <w:vAlign w:val="center"/>
          </w:tcPr>
          <w:p w14:paraId="4C93672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4DEA000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25105F8B"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440183010004000100200</w:t>
            </w:r>
          </w:p>
        </w:tc>
        <w:tc>
          <w:tcPr>
            <w:tcW w:w="2852" w:type="dxa"/>
            <w:vMerge/>
            <w:vAlign w:val="center"/>
          </w:tcPr>
          <w:p w14:paraId="002E1E28" w14:textId="77777777" w:rsidR="006304C3" w:rsidRDefault="006304C3" w:rsidP="003E2D5A">
            <w:pPr>
              <w:spacing w:line="360" w:lineRule="auto"/>
              <w:jc w:val="center"/>
              <w:rPr>
                <w:rFonts w:ascii="宋体" w:eastAsia="宋体" w:hAnsi="宋体"/>
                <w:szCs w:val="21"/>
              </w:rPr>
            </w:pPr>
          </w:p>
        </w:tc>
      </w:tr>
      <w:tr w:rsidR="006304C3" w14:paraId="411B98B3" w14:textId="77777777" w:rsidTr="003E2D5A">
        <w:trPr>
          <w:jc w:val="center"/>
        </w:trPr>
        <w:tc>
          <w:tcPr>
            <w:tcW w:w="946" w:type="dxa"/>
            <w:vAlign w:val="center"/>
          </w:tcPr>
          <w:p w14:paraId="4B45E36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3</w:t>
            </w:r>
          </w:p>
        </w:tc>
        <w:tc>
          <w:tcPr>
            <w:tcW w:w="1408" w:type="dxa"/>
            <w:vAlign w:val="center"/>
          </w:tcPr>
          <w:p w14:paraId="53313CB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22F42EA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0CAF5AAC"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440183010004000100100</w:t>
            </w:r>
          </w:p>
        </w:tc>
        <w:tc>
          <w:tcPr>
            <w:tcW w:w="2852" w:type="dxa"/>
            <w:vMerge/>
            <w:vAlign w:val="center"/>
          </w:tcPr>
          <w:p w14:paraId="3E363853" w14:textId="77777777" w:rsidR="006304C3" w:rsidRDefault="006304C3" w:rsidP="003E2D5A">
            <w:pPr>
              <w:spacing w:line="360" w:lineRule="auto"/>
              <w:jc w:val="center"/>
              <w:rPr>
                <w:rFonts w:ascii="宋体" w:eastAsia="宋体" w:hAnsi="宋体"/>
                <w:szCs w:val="21"/>
              </w:rPr>
            </w:pPr>
          </w:p>
        </w:tc>
      </w:tr>
      <w:tr w:rsidR="006304C3" w14:paraId="6E0D26E5" w14:textId="77777777" w:rsidTr="003E2D5A">
        <w:trPr>
          <w:jc w:val="center"/>
        </w:trPr>
        <w:tc>
          <w:tcPr>
            <w:tcW w:w="946" w:type="dxa"/>
            <w:vAlign w:val="center"/>
          </w:tcPr>
          <w:p w14:paraId="5ABDEEF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4</w:t>
            </w:r>
          </w:p>
        </w:tc>
        <w:tc>
          <w:tcPr>
            <w:tcW w:w="1408" w:type="dxa"/>
            <w:vAlign w:val="center"/>
          </w:tcPr>
          <w:p w14:paraId="4385F8D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05A8FC6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3EE86F4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440183010004000101100</w:t>
            </w:r>
          </w:p>
        </w:tc>
        <w:tc>
          <w:tcPr>
            <w:tcW w:w="2852" w:type="dxa"/>
            <w:vMerge/>
            <w:vAlign w:val="center"/>
          </w:tcPr>
          <w:p w14:paraId="76030CC0" w14:textId="77777777" w:rsidR="006304C3" w:rsidRDefault="006304C3" w:rsidP="003E2D5A">
            <w:pPr>
              <w:spacing w:line="360" w:lineRule="auto"/>
              <w:jc w:val="center"/>
              <w:rPr>
                <w:rFonts w:ascii="宋体" w:eastAsia="宋体" w:hAnsi="宋体"/>
                <w:szCs w:val="21"/>
              </w:rPr>
            </w:pPr>
          </w:p>
        </w:tc>
      </w:tr>
      <w:tr w:rsidR="006304C3" w14:paraId="34D91D6B" w14:textId="77777777" w:rsidTr="003E2D5A">
        <w:trPr>
          <w:jc w:val="center"/>
        </w:trPr>
        <w:tc>
          <w:tcPr>
            <w:tcW w:w="946" w:type="dxa"/>
            <w:vAlign w:val="center"/>
          </w:tcPr>
          <w:p w14:paraId="099A16D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5</w:t>
            </w:r>
          </w:p>
        </w:tc>
        <w:tc>
          <w:tcPr>
            <w:tcW w:w="1408" w:type="dxa"/>
            <w:vAlign w:val="center"/>
          </w:tcPr>
          <w:p w14:paraId="776B862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73077C8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0140735A"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440183010003000102300</w:t>
            </w:r>
          </w:p>
        </w:tc>
        <w:tc>
          <w:tcPr>
            <w:tcW w:w="2852" w:type="dxa"/>
            <w:vMerge/>
            <w:vAlign w:val="center"/>
          </w:tcPr>
          <w:p w14:paraId="2095FB5F" w14:textId="77777777" w:rsidR="006304C3" w:rsidRDefault="006304C3" w:rsidP="003E2D5A">
            <w:pPr>
              <w:spacing w:line="360" w:lineRule="auto"/>
              <w:jc w:val="center"/>
              <w:rPr>
                <w:rFonts w:ascii="宋体" w:eastAsia="宋体" w:hAnsi="宋体"/>
                <w:szCs w:val="21"/>
              </w:rPr>
            </w:pPr>
          </w:p>
        </w:tc>
      </w:tr>
      <w:tr w:rsidR="006304C3" w14:paraId="444189EA" w14:textId="77777777" w:rsidTr="003E2D5A">
        <w:trPr>
          <w:jc w:val="center"/>
        </w:trPr>
        <w:tc>
          <w:tcPr>
            <w:tcW w:w="946" w:type="dxa"/>
            <w:vAlign w:val="center"/>
          </w:tcPr>
          <w:p w14:paraId="084A4FC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6</w:t>
            </w:r>
          </w:p>
        </w:tc>
        <w:tc>
          <w:tcPr>
            <w:tcW w:w="1408" w:type="dxa"/>
            <w:vAlign w:val="center"/>
          </w:tcPr>
          <w:p w14:paraId="25E436F7"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3F1D688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663ED29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440183010003000101700</w:t>
            </w:r>
          </w:p>
        </w:tc>
        <w:tc>
          <w:tcPr>
            <w:tcW w:w="2852" w:type="dxa"/>
            <w:vMerge/>
            <w:vAlign w:val="center"/>
          </w:tcPr>
          <w:p w14:paraId="1323174C" w14:textId="77777777" w:rsidR="006304C3" w:rsidRDefault="006304C3" w:rsidP="003E2D5A">
            <w:pPr>
              <w:spacing w:line="360" w:lineRule="auto"/>
              <w:jc w:val="center"/>
              <w:rPr>
                <w:rFonts w:ascii="宋体" w:eastAsia="宋体" w:hAnsi="宋体"/>
                <w:szCs w:val="21"/>
              </w:rPr>
            </w:pPr>
          </w:p>
        </w:tc>
      </w:tr>
      <w:tr w:rsidR="006304C3" w14:paraId="34209D62" w14:textId="77777777" w:rsidTr="003E2D5A">
        <w:trPr>
          <w:jc w:val="center"/>
        </w:trPr>
        <w:tc>
          <w:tcPr>
            <w:tcW w:w="946" w:type="dxa"/>
            <w:vAlign w:val="center"/>
          </w:tcPr>
          <w:p w14:paraId="21549E8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7</w:t>
            </w:r>
          </w:p>
        </w:tc>
        <w:tc>
          <w:tcPr>
            <w:tcW w:w="1408" w:type="dxa"/>
            <w:vAlign w:val="center"/>
          </w:tcPr>
          <w:p w14:paraId="4652E76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7" w:type="dxa"/>
            <w:vAlign w:val="center"/>
          </w:tcPr>
          <w:p w14:paraId="7583468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4834D400"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440183010003000102201</w:t>
            </w:r>
          </w:p>
        </w:tc>
        <w:tc>
          <w:tcPr>
            <w:tcW w:w="2852" w:type="dxa"/>
            <w:vMerge/>
            <w:vAlign w:val="center"/>
          </w:tcPr>
          <w:p w14:paraId="2DB5D7B2" w14:textId="77777777" w:rsidR="006304C3" w:rsidRDefault="006304C3" w:rsidP="003E2D5A">
            <w:pPr>
              <w:spacing w:line="360" w:lineRule="auto"/>
              <w:jc w:val="center"/>
              <w:rPr>
                <w:rFonts w:ascii="宋体" w:eastAsia="宋体" w:hAnsi="宋体"/>
                <w:szCs w:val="21"/>
              </w:rPr>
            </w:pPr>
          </w:p>
        </w:tc>
      </w:tr>
    </w:tbl>
    <w:p w14:paraId="62428AA5" w14:textId="77777777" w:rsidR="006304C3" w:rsidRDefault="006304C3" w:rsidP="006304C3">
      <w:pPr>
        <w:spacing w:line="360" w:lineRule="auto"/>
        <w:rPr>
          <w:rFonts w:ascii="宋体" w:eastAsia="宋体" w:hAnsi="宋体"/>
          <w:szCs w:val="21"/>
        </w:rPr>
      </w:pPr>
    </w:p>
    <w:p w14:paraId="2DCDD82D"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1.4 抚育施肥</w:t>
      </w:r>
    </w:p>
    <w:p w14:paraId="4CEAEFF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对目的树种、目标树，将肥料施于林木根系集中分布区，不超出树冠覆盖范围，</w:t>
      </w:r>
      <w:proofErr w:type="gramStart"/>
      <w:r>
        <w:rPr>
          <w:rFonts w:ascii="宋体" w:eastAsia="宋体" w:hAnsi="宋体" w:hint="eastAsia"/>
          <w:szCs w:val="21"/>
        </w:rPr>
        <w:t>并用土盖实</w:t>
      </w:r>
      <w:proofErr w:type="gramEnd"/>
      <w:r>
        <w:rPr>
          <w:rFonts w:ascii="宋体" w:eastAsia="宋体" w:hAnsi="宋体" w:hint="eastAsia"/>
          <w:szCs w:val="21"/>
        </w:rPr>
        <w:t>，避免流失。施肥采用沟</w:t>
      </w:r>
      <w:proofErr w:type="gramStart"/>
      <w:r>
        <w:rPr>
          <w:rFonts w:ascii="宋体" w:eastAsia="宋体" w:hAnsi="宋体" w:hint="eastAsia"/>
          <w:szCs w:val="21"/>
        </w:rPr>
        <w:t>状埋施</w:t>
      </w:r>
      <w:proofErr w:type="gramEnd"/>
      <w:r>
        <w:rPr>
          <w:rFonts w:ascii="宋体" w:eastAsia="宋体" w:hAnsi="宋体" w:hint="eastAsia"/>
          <w:szCs w:val="21"/>
        </w:rPr>
        <w:t>，施肥沟位于幼树树冠投影外沿的上坡处，沟深不小于 0.2 米、宽 0.20-0.25米，将肥料撒入后覆土。每穴基肥施放0.5千克复合肥(NPK含量≥40%)和有机肥（有机质含量不低于 40%）。</w:t>
      </w:r>
    </w:p>
    <w:p w14:paraId="6C04CAB8"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6-3 作业小班抚育施肥措施</w:t>
      </w:r>
    </w:p>
    <w:tbl>
      <w:tblPr>
        <w:tblStyle w:val="a7"/>
        <w:tblW w:w="8701" w:type="dxa"/>
        <w:jc w:val="center"/>
        <w:tblLook w:val="04A0" w:firstRow="1" w:lastRow="0" w:firstColumn="1" w:lastColumn="0" w:noHBand="0" w:noVBand="1"/>
      </w:tblPr>
      <w:tblGrid>
        <w:gridCol w:w="905"/>
        <w:gridCol w:w="1441"/>
        <w:gridCol w:w="844"/>
        <w:gridCol w:w="2452"/>
        <w:gridCol w:w="1219"/>
        <w:gridCol w:w="1840"/>
      </w:tblGrid>
      <w:tr w:rsidR="006304C3" w14:paraId="6D8693A5" w14:textId="77777777" w:rsidTr="003E2D5A">
        <w:trPr>
          <w:trHeight w:val="425"/>
          <w:jc w:val="center"/>
        </w:trPr>
        <w:tc>
          <w:tcPr>
            <w:tcW w:w="905" w:type="dxa"/>
            <w:vMerge w:val="restart"/>
            <w:vAlign w:val="center"/>
          </w:tcPr>
          <w:p w14:paraId="0EE1D594"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作业小班号</w:t>
            </w:r>
          </w:p>
        </w:tc>
        <w:tc>
          <w:tcPr>
            <w:tcW w:w="1441" w:type="dxa"/>
            <w:vMerge w:val="restart"/>
            <w:vAlign w:val="center"/>
          </w:tcPr>
          <w:p w14:paraId="08CB556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镇(街/林场)</w:t>
            </w:r>
          </w:p>
        </w:tc>
        <w:tc>
          <w:tcPr>
            <w:tcW w:w="844" w:type="dxa"/>
            <w:vMerge w:val="restart"/>
            <w:vAlign w:val="center"/>
          </w:tcPr>
          <w:p w14:paraId="7B98F51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村/工区</w:t>
            </w:r>
          </w:p>
        </w:tc>
        <w:tc>
          <w:tcPr>
            <w:tcW w:w="2452" w:type="dxa"/>
            <w:vMerge w:val="restart"/>
            <w:vAlign w:val="center"/>
          </w:tcPr>
          <w:p w14:paraId="35FF399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地籍号</w:t>
            </w:r>
          </w:p>
        </w:tc>
        <w:tc>
          <w:tcPr>
            <w:tcW w:w="3059" w:type="dxa"/>
            <w:gridSpan w:val="2"/>
            <w:vAlign w:val="center"/>
          </w:tcPr>
          <w:p w14:paraId="1B502AC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抚育施肥措施</w:t>
            </w:r>
          </w:p>
        </w:tc>
      </w:tr>
      <w:tr w:rsidR="006304C3" w14:paraId="16590421" w14:textId="77777777" w:rsidTr="003E2D5A">
        <w:trPr>
          <w:trHeight w:val="425"/>
          <w:jc w:val="center"/>
        </w:trPr>
        <w:tc>
          <w:tcPr>
            <w:tcW w:w="905" w:type="dxa"/>
            <w:vMerge/>
            <w:vAlign w:val="center"/>
          </w:tcPr>
          <w:p w14:paraId="5EDB2257" w14:textId="77777777" w:rsidR="006304C3" w:rsidRDefault="006304C3" w:rsidP="003E2D5A">
            <w:pPr>
              <w:spacing w:line="360" w:lineRule="auto"/>
              <w:jc w:val="center"/>
              <w:rPr>
                <w:rFonts w:ascii="宋体" w:eastAsia="宋体" w:hAnsi="宋体"/>
                <w:szCs w:val="21"/>
              </w:rPr>
            </w:pPr>
          </w:p>
        </w:tc>
        <w:tc>
          <w:tcPr>
            <w:tcW w:w="1441" w:type="dxa"/>
            <w:vMerge/>
            <w:vAlign w:val="center"/>
          </w:tcPr>
          <w:p w14:paraId="17C1581F" w14:textId="77777777" w:rsidR="006304C3" w:rsidRDefault="006304C3" w:rsidP="003E2D5A">
            <w:pPr>
              <w:spacing w:line="360" w:lineRule="auto"/>
              <w:jc w:val="center"/>
              <w:rPr>
                <w:rFonts w:ascii="宋体" w:eastAsia="宋体" w:hAnsi="宋体"/>
                <w:szCs w:val="21"/>
              </w:rPr>
            </w:pPr>
          </w:p>
        </w:tc>
        <w:tc>
          <w:tcPr>
            <w:tcW w:w="844" w:type="dxa"/>
            <w:vMerge/>
            <w:vAlign w:val="center"/>
          </w:tcPr>
          <w:p w14:paraId="6F5E620B" w14:textId="77777777" w:rsidR="006304C3" w:rsidRDefault="006304C3" w:rsidP="003E2D5A">
            <w:pPr>
              <w:spacing w:line="360" w:lineRule="auto"/>
              <w:jc w:val="center"/>
              <w:rPr>
                <w:rFonts w:ascii="宋体" w:eastAsia="宋体" w:hAnsi="宋体"/>
                <w:szCs w:val="21"/>
              </w:rPr>
            </w:pPr>
          </w:p>
        </w:tc>
        <w:tc>
          <w:tcPr>
            <w:tcW w:w="2452" w:type="dxa"/>
            <w:vMerge/>
            <w:vAlign w:val="center"/>
          </w:tcPr>
          <w:p w14:paraId="12E43676" w14:textId="77777777" w:rsidR="006304C3" w:rsidRDefault="006304C3" w:rsidP="003E2D5A">
            <w:pPr>
              <w:spacing w:line="360" w:lineRule="auto"/>
              <w:jc w:val="center"/>
              <w:rPr>
                <w:rFonts w:ascii="宋体" w:eastAsia="宋体" w:hAnsi="宋体"/>
                <w:szCs w:val="21"/>
              </w:rPr>
            </w:pPr>
          </w:p>
        </w:tc>
        <w:tc>
          <w:tcPr>
            <w:tcW w:w="1219" w:type="dxa"/>
            <w:vAlign w:val="center"/>
          </w:tcPr>
          <w:p w14:paraId="580A071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方式</w:t>
            </w:r>
          </w:p>
        </w:tc>
        <w:tc>
          <w:tcPr>
            <w:tcW w:w="1840" w:type="dxa"/>
            <w:vAlign w:val="center"/>
          </w:tcPr>
          <w:p w14:paraId="13BEB60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追肥</w:t>
            </w:r>
          </w:p>
        </w:tc>
      </w:tr>
      <w:tr w:rsidR="006304C3" w14:paraId="1AE659AC" w14:textId="77777777" w:rsidTr="003E2D5A">
        <w:trPr>
          <w:jc w:val="center"/>
        </w:trPr>
        <w:tc>
          <w:tcPr>
            <w:tcW w:w="905" w:type="dxa"/>
            <w:vAlign w:val="center"/>
          </w:tcPr>
          <w:p w14:paraId="70002F9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p>
        </w:tc>
        <w:tc>
          <w:tcPr>
            <w:tcW w:w="1441" w:type="dxa"/>
            <w:vAlign w:val="center"/>
          </w:tcPr>
          <w:p w14:paraId="522DB5C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3EA26C2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781AFE9C"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440183010004000100700</w:t>
            </w:r>
          </w:p>
        </w:tc>
        <w:tc>
          <w:tcPr>
            <w:tcW w:w="1219" w:type="dxa"/>
            <w:vMerge w:val="restart"/>
            <w:vAlign w:val="center"/>
          </w:tcPr>
          <w:p w14:paraId="3EA6919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施肥采用沟</w:t>
            </w:r>
            <w:proofErr w:type="gramStart"/>
            <w:r>
              <w:rPr>
                <w:rFonts w:ascii="宋体" w:eastAsia="宋体" w:hAnsi="宋体" w:hint="eastAsia"/>
                <w:szCs w:val="21"/>
              </w:rPr>
              <w:lastRenderedPageBreak/>
              <w:t>状埋施</w:t>
            </w:r>
            <w:proofErr w:type="gramEnd"/>
            <w:r>
              <w:rPr>
                <w:rFonts w:ascii="宋体" w:eastAsia="宋体" w:hAnsi="宋体" w:hint="eastAsia"/>
                <w:szCs w:val="21"/>
              </w:rPr>
              <w:t>，施肥沟位于目标树冠投影外沿的上坡处，沟深不小于0.2米、宽0.20-0.25米，将肥料撒入后覆土。每穴基肥施放于0.5千克复合肥(NPK含量≥40%)和有机肥（有机质含量不低于40%）。</w:t>
            </w:r>
          </w:p>
        </w:tc>
        <w:tc>
          <w:tcPr>
            <w:tcW w:w="1840" w:type="dxa"/>
            <w:vMerge w:val="restart"/>
            <w:vAlign w:val="center"/>
          </w:tcPr>
          <w:p w14:paraId="172C55DA"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lastRenderedPageBreak/>
              <w:t>采用复合肥（NPK</w:t>
            </w:r>
            <w:r>
              <w:rPr>
                <w:rFonts w:ascii="宋体" w:eastAsia="宋体" w:hAnsi="宋体" w:hint="eastAsia"/>
                <w:szCs w:val="21"/>
              </w:rPr>
              <w:lastRenderedPageBreak/>
              <w:t>含量≥40%）和有机肥（有机质含量不低于40%），目标树种追肥施放复合肥0.5kg和有机肥1kg。抚育追肥共7次，其中每一年的第一次抚育追肥施放有机肥和复合肥，第二次抚育追肥施放复合肥，即2024年-2027年的4-5月各施放一次有机肥1kg和复合肥0.5kg，共4次；2024年-2026年9-10月各施1次复合肥0.5kg，共3次。</w:t>
            </w:r>
          </w:p>
        </w:tc>
      </w:tr>
      <w:tr w:rsidR="006304C3" w14:paraId="3CB8DED5" w14:textId="77777777" w:rsidTr="003E2D5A">
        <w:trPr>
          <w:jc w:val="center"/>
        </w:trPr>
        <w:tc>
          <w:tcPr>
            <w:tcW w:w="905" w:type="dxa"/>
            <w:vAlign w:val="center"/>
          </w:tcPr>
          <w:p w14:paraId="120AEE4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lastRenderedPageBreak/>
              <w:t>2</w:t>
            </w:r>
          </w:p>
        </w:tc>
        <w:tc>
          <w:tcPr>
            <w:tcW w:w="1441" w:type="dxa"/>
            <w:vAlign w:val="center"/>
          </w:tcPr>
          <w:p w14:paraId="48640EF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419F905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21706B2A"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440183010004000100200</w:t>
            </w:r>
          </w:p>
        </w:tc>
        <w:tc>
          <w:tcPr>
            <w:tcW w:w="1219" w:type="dxa"/>
            <w:vMerge/>
            <w:vAlign w:val="center"/>
          </w:tcPr>
          <w:p w14:paraId="70CBE7C5"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598775A3" w14:textId="77777777" w:rsidR="006304C3" w:rsidRDefault="006304C3" w:rsidP="003E2D5A">
            <w:pPr>
              <w:spacing w:line="360" w:lineRule="auto"/>
              <w:jc w:val="center"/>
              <w:rPr>
                <w:rFonts w:ascii="宋体" w:eastAsia="宋体" w:hAnsi="宋体"/>
                <w:szCs w:val="21"/>
              </w:rPr>
            </w:pPr>
          </w:p>
        </w:tc>
      </w:tr>
      <w:tr w:rsidR="006304C3" w14:paraId="4272412E" w14:textId="77777777" w:rsidTr="003E2D5A">
        <w:trPr>
          <w:jc w:val="center"/>
        </w:trPr>
        <w:tc>
          <w:tcPr>
            <w:tcW w:w="905" w:type="dxa"/>
            <w:vAlign w:val="center"/>
          </w:tcPr>
          <w:p w14:paraId="1B496B72"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3</w:t>
            </w:r>
          </w:p>
        </w:tc>
        <w:tc>
          <w:tcPr>
            <w:tcW w:w="1441" w:type="dxa"/>
            <w:vAlign w:val="center"/>
          </w:tcPr>
          <w:p w14:paraId="6AABB4A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583D518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436D044D"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440183010004000100100</w:t>
            </w:r>
          </w:p>
        </w:tc>
        <w:tc>
          <w:tcPr>
            <w:tcW w:w="1219" w:type="dxa"/>
            <w:vMerge/>
            <w:vAlign w:val="center"/>
          </w:tcPr>
          <w:p w14:paraId="484AE586"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7C542090" w14:textId="77777777" w:rsidR="006304C3" w:rsidRDefault="006304C3" w:rsidP="003E2D5A">
            <w:pPr>
              <w:spacing w:line="360" w:lineRule="auto"/>
              <w:jc w:val="center"/>
              <w:rPr>
                <w:rFonts w:ascii="宋体" w:eastAsia="宋体" w:hAnsi="宋体"/>
                <w:szCs w:val="21"/>
              </w:rPr>
            </w:pPr>
          </w:p>
        </w:tc>
      </w:tr>
      <w:tr w:rsidR="006304C3" w14:paraId="00942C75" w14:textId="77777777" w:rsidTr="003E2D5A">
        <w:trPr>
          <w:jc w:val="center"/>
        </w:trPr>
        <w:tc>
          <w:tcPr>
            <w:tcW w:w="905" w:type="dxa"/>
            <w:vAlign w:val="center"/>
          </w:tcPr>
          <w:p w14:paraId="343B47C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4</w:t>
            </w:r>
          </w:p>
        </w:tc>
        <w:tc>
          <w:tcPr>
            <w:tcW w:w="1441" w:type="dxa"/>
            <w:vAlign w:val="center"/>
          </w:tcPr>
          <w:p w14:paraId="613D240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019C547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656077D2"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440183010004000101100</w:t>
            </w:r>
          </w:p>
        </w:tc>
        <w:tc>
          <w:tcPr>
            <w:tcW w:w="1219" w:type="dxa"/>
            <w:vMerge/>
            <w:vAlign w:val="center"/>
          </w:tcPr>
          <w:p w14:paraId="40E1AE66"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2CEC4EB4" w14:textId="77777777" w:rsidR="006304C3" w:rsidRDefault="006304C3" w:rsidP="003E2D5A">
            <w:pPr>
              <w:spacing w:line="360" w:lineRule="auto"/>
              <w:jc w:val="center"/>
              <w:rPr>
                <w:rFonts w:ascii="宋体" w:eastAsia="宋体" w:hAnsi="宋体"/>
                <w:szCs w:val="21"/>
              </w:rPr>
            </w:pPr>
          </w:p>
        </w:tc>
      </w:tr>
      <w:tr w:rsidR="006304C3" w14:paraId="41138765" w14:textId="77777777" w:rsidTr="003E2D5A">
        <w:trPr>
          <w:jc w:val="center"/>
        </w:trPr>
        <w:tc>
          <w:tcPr>
            <w:tcW w:w="905" w:type="dxa"/>
            <w:vAlign w:val="center"/>
          </w:tcPr>
          <w:p w14:paraId="4F7A288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5</w:t>
            </w:r>
          </w:p>
        </w:tc>
        <w:tc>
          <w:tcPr>
            <w:tcW w:w="1441" w:type="dxa"/>
            <w:vAlign w:val="center"/>
          </w:tcPr>
          <w:p w14:paraId="1C72448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66BAA5E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217CADF3"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440183010003000102300</w:t>
            </w:r>
          </w:p>
        </w:tc>
        <w:tc>
          <w:tcPr>
            <w:tcW w:w="1219" w:type="dxa"/>
            <w:vMerge/>
            <w:vAlign w:val="center"/>
          </w:tcPr>
          <w:p w14:paraId="4729FAE0"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308A34AC" w14:textId="77777777" w:rsidR="006304C3" w:rsidRDefault="006304C3" w:rsidP="003E2D5A">
            <w:pPr>
              <w:spacing w:line="360" w:lineRule="auto"/>
              <w:jc w:val="center"/>
              <w:rPr>
                <w:rFonts w:ascii="宋体" w:eastAsia="宋体" w:hAnsi="宋体"/>
                <w:szCs w:val="21"/>
              </w:rPr>
            </w:pPr>
          </w:p>
        </w:tc>
      </w:tr>
      <w:tr w:rsidR="006304C3" w14:paraId="30625710" w14:textId="77777777" w:rsidTr="003E2D5A">
        <w:trPr>
          <w:jc w:val="center"/>
        </w:trPr>
        <w:tc>
          <w:tcPr>
            <w:tcW w:w="905" w:type="dxa"/>
            <w:vAlign w:val="center"/>
          </w:tcPr>
          <w:p w14:paraId="253E108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6</w:t>
            </w:r>
          </w:p>
        </w:tc>
        <w:tc>
          <w:tcPr>
            <w:tcW w:w="1441" w:type="dxa"/>
            <w:vAlign w:val="center"/>
          </w:tcPr>
          <w:p w14:paraId="590CAE8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5691818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27233997"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440183010003000101700</w:t>
            </w:r>
          </w:p>
        </w:tc>
        <w:tc>
          <w:tcPr>
            <w:tcW w:w="1219" w:type="dxa"/>
            <w:vMerge/>
            <w:vAlign w:val="center"/>
          </w:tcPr>
          <w:p w14:paraId="0D652103"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7BB02AAE" w14:textId="77777777" w:rsidR="006304C3" w:rsidRDefault="006304C3" w:rsidP="003E2D5A">
            <w:pPr>
              <w:spacing w:line="360" w:lineRule="auto"/>
              <w:jc w:val="center"/>
              <w:rPr>
                <w:rFonts w:ascii="宋体" w:eastAsia="宋体" w:hAnsi="宋体"/>
                <w:szCs w:val="21"/>
              </w:rPr>
            </w:pPr>
          </w:p>
        </w:tc>
      </w:tr>
      <w:tr w:rsidR="006304C3" w14:paraId="47CA8190" w14:textId="77777777" w:rsidTr="003E2D5A">
        <w:trPr>
          <w:jc w:val="center"/>
        </w:trPr>
        <w:tc>
          <w:tcPr>
            <w:tcW w:w="905" w:type="dxa"/>
            <w:vAlign w:val="center"/>
          </w:tcPr>
          <w:p w14:paraId="47B2D26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7</w:t>
            </w:r>
          </w:p>
        </w:tc>
        <w:tc>
          <w:tcPr>
            <w:tcW w:w="1441" w:type="dxa"/>
            <w:vAlign w:val="center"/>
          </w:tcPr>
          <w:p w14:paraId="323ED89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844" w:type="dxa"/>
            <w:vAlign w:val="center"/>
          </w:tcPr>
          <w:p w14:paraId="3007050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1858828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440183010003000102201</w:t>
            </w:r>
          </w:p>
        </w:tc>
        <w:tc>
          <w:tcPr>
            <w:tcW w:w="1219" w:type="dxa"/>
            <w:vMerge/>
            <w:vAlign w:val="center"/>
          </w:tcPr>
          <w:p w14:paraId="16957773" w14:textId="77777777" w:rsidR="006304C3" w:rsidRDefault="006304C3" w:rsidP="003E2D5A">
            <w:pPr>
              <w:spacing w:line="360" w:lineRule="auto"/>
              <w:jc w:val="center"/>
              <w:rPr>
                <w:rFonts w:ascii="宋体" w:eastAsia="宋体" w:hAnsi="宋体"/>
                <w:szCs w:val="21"/>
              </w:rPr>
            </w:pPr>
          </w:p>
        </w:tc>
        <w:tc>
          <w:tcPr>
            <w:tcW w:w="1840" w:type="dxa"/>
            <w:vMerge/>
            <w:vAlign w:val="center"/>
          </w:tcPr>
          <w:p w14:paraId="7F1445E6" w14:textId="77777777" w:rsidR="006304C3" w:rsidRDefault="006304C3" w:rsidP="003E2D5A">
            <w:pPr>
              <w:spacing w:line="360" w:lineRule="auto"/>
              <w:jc w:val="center"/>
              <w:rPr>
                <w:rFonts w:ascii="宋体" w:eastAsia="宋体" w:hAnsi="宋体"/>
                <w:szCs w:val="21"/>
              </w:rPr>
            </w:pPr>
          </w:p>
        </w:tc>
      </w:tr>
    </w:tbl>
    <w:p w14:paraId="3ED958A4" w14:textId="77777777" w:rsidR="006304C3" w:rsidRDefault="006304C3" w:rsidP="006304C3">
      <w:pPr>
        <w:spacing w:line="360" w:lineRule="auto"/>
        <w:rPr>
          <w:rFonts w:ascii="宋体" w:eastAsia="宋体" w:hAnsi="宋体"/>
          <w:szCs w:val="21"/>
        </w:rPr>
      </w:pPr>
    </w:p>
    <w:p w14:paraId="332A519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 补植 套种</w:t>
      </w:r>
    </w:p>
    <w:p w14:paraId="7987CDD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1.5.1 补植套种的面积</w:t>
      </w:r>
    </w:p>
    <w:p w14:paraId="69EF8FD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符合下列条件的林地，可以考虑进行苗木补植：新栽植的目的树种、辅助树种的幼苗幼树保存率小于 85%；或郁闭成林后或卫生伐后林地中若有大于25m²林中空地；或立地条件良好、符合抚育经营目标的目的树种株数少的有林地。根据实地调查，本次主要对“林窗”处进行补植套种，补植套种总面积为 200.9 亩，按照 3 米*2.5 米的间距进行补植，每亩补植 89 株。各作业小班采取的补植套种面积及苗木量详见表 6-4，详见附图 2。</w:t>
      </w:r>
    </w:p>
    <w:p w14:paraId="266EC8F5"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 6-4 作业小班补植套种面积及苗木量</w:t>
      </w:r>
    </w:p>
    <w:tbl>
      <w:tblPr>
        <w:tblStyle w:val="a7"/>
        <w:tblW w:w="8785" w:type="dxa"/>
        <w:jc w:val="center"/>
        <w:tblLook w:val="04A0" w:firstRow="1" w:lastRow="0" w:firstColumn="1" w:lastColumn="0" w:noHBand="0" w:noVBand="1"/>
      </w:tblPr>
      <w:tblGrid>
        <w:gridCol w:w="1091"/>
        <w:gridCol w:w="1603"/>
        <w:gridCol w:w="755"/>
        <w:gridCol w:w="2452"/>
        <w:gridCol w:w="1045"/>
        <w:gridCol w:w="900"/>
        <w:gridCol w:w="939"/>
      </w:tblGrid>
      <w:tr w:rsidR="006304C3" w14:paraId="142AD02F" w14:textId="77777777" w:rsidTr="003E2D5A">
        <w:trPr>
          <w:trHeight w:val="425"/>
          <w:jc w:val="center"/>
        </w:trPr>
        <w:tc>
          <w:tcPr>
            <w:tcW w:w="1091" w:type="dxa"/>
            <w:vAlign w:val="center"/>
          </w:tcPr>
          <w:p w14:paraId="0320374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作业小班号</w:t>
            </w:r>
          </w:p>
        </w:tc>
        <w:tc>
          <w:tcPr>
            <w:tcW w:w="1603" w:type="dxa"/>
            <w:vAlign w:val="center"/>
          </w:tcPr>
          <w:p w14:paraId="05F52ADC"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镇(街/林场)</w:t>
            </w:r>
          </w:p>
        </w:tc>
        <w:tc>
          <w:tcPr>
            <w:tcW w:w="755" w:type="dxa"/>
            <w:vAlign w:val="center"/>
          </w:tcPr>
          <w:p w14:paraId="2979F6C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村/工区</w:t>
            </w:r>
          </w:p>
        </w:tc>
        <w:tc>
          <w:tcPr>
            <w:tcW w:w="2452" w:type="dxa"/>
            <w:vAlign w:val="center"/>
          </w:tcPr>
          <w:p w14:paraId="46FC9A8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地籍号</w:t>
            </w:r>
          </w:p>
        </w:tc>
        <w:tc>
          <w:tcPr>
            <w:tcW w:w="1045" w:type="dxa"/>
            <w:vAlign w:val="center"/>
          </w:tcPr>
          <w:p w14:paraId="63C2109D" w14:textId="77777777" w:rsidR="006304C3" w:rsidRDefault="006304C3" w:rsidP="003E2D5A">
            <w:pPr>
              <w:spacing w:line="360" w:lineRule="auto"/>
              <w:jc w:val="center"/>
              <w:rPr>
                <w:rFonts w:ascii="宋体" w:eastAsia="宋体" w:hAnsi="宋体"/>
                <w:szCs w:val="21"/>
              </w:rPr>
            </w:pPr>
            <w:proofErr w:type="gramStart"/>
            <w:r>
              <w:rPr>
                <w:rFonts w:ascii="宋体" w:eastAsia="宋体" w:hAnsi="宋体" w:hint="eastAsia"/>
                <w:szCs w:val="21"/>
              </w:rPr>
              <w:t>林窗面积</w:t>
            </w:r>
            <w:proofErr w:type="gramEnd"/>
            <w:r>
              <w:rPr>
                <w:rFonts w:ascii="宋体" w:eastAsia="宋体" w:hAnsi="宋体" w:hint="eastAsia"/>
                <w:szCs w:val="21"/>
              </w:rPr>
              <w:t>（亩）</w:t>
            </w:r>
          </w:p>
        </w:tc>
        <w:tc>
          <w:tcPr>
            <w:tcW w:w="900" w:type="dxa"/>
            <w:vAlign w:val="center"/>
          </w:tcPr>
          <w:p w14:paraId="2704431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种植苗木（株/亩）</w:t>
            </w:r>
          </w:p>
        </w:tc>
        <w:tc>
          <w:tcPr>
            <w:tcW w:w="939" w:type="dxa"/>
            <w:vAlign w:val="center"/>
          </w:tcPr>
          <w:p w14:paraId="698E539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苗木量（株）</w:t>
            </w:r>
          </w:p>
        </w:tc>
      </w:tr>
      <w:tr w:rsidR="006304C3" w14:paraId="2B19623B" w14:textId="77777777" w:rsidTr="003E2D5A">
        <w:trPr>
          <w:jc w:val="center"/>
        </w:trPr>
        <w:tc>
          <w:tcPr>
            <w:tcW w:w="1091" w:type="dxa"/>
            <w:vAlign w:val="center"/>
          </w:tcPr>
          <w:p w14:paraId="4981513F"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1</w:t>
            </w:r>
          </w:p>
        </w:tc>
        <w:tc>
          <w:tcPr>
            <w:tcW w:w="1603" w:type="dxa"/>
            <w:vAlign w:val="center"/>
          </w:tcPr>
          <w:p w14:paraId="0116C43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617336A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1C0433A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440183010004000100700</w:t>
            </w:r>
          </w:p>
        </w:tc>
        <w:tc>
          <w:tcPr>
            <w:tcW w:w="1045" w:type="dxa"/>
            <w:vAlign w:val="center"/>
          </w:tcPr>
          <w:p w14:paraId="683E7F8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4.2</w:t>
            </w:r>
          </w:p>
        </w:tc>
        <w:tc>
          <w:tcPr>
            <w:tcW w:w="900" w:type="dxa"/>
            <w:vAlign w:val="center"/>
          </w:tcPr>
          <w:p w14:paraId="40B06E63"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89</w:t>
            </w:r>
          </w:p>
        </w:tc>
        <w:tc>
          <w:tcPr>
            <w:tcW w:w="939" w:type="dxa"/>
            <w:vAlign w:val="center"/>
          </w:tcPr>
          <w:p w14:paraId="4B8792D9" w14:textId="77777777" w:rsidR="006304C3" w:rsidRDefault="006304C3" w:rsidP="003E2D5A">
            <w:pPr>
              <w:spacing w:line="360" w:lineRule="auto"/>
              <w:jc w:val="center"/>
              <w:rPr>
                <w:rFonts w:ascii="宋体" w:eastAsia="宋体" w:hAnsi="宋体"/>
                <w:szCs w:val="21"/>
              </w:rPr>
            </w:pPr>
            <w:r>
              <w:rPr>
                <w:rFonts w:ascii="宋体" w:eastAsia="宋体" w:hAnsi="宋体"/>
                <w:szCs w:val="21"/>
              </w:rPr>
              <w:t>374</w:t>
            </w:r>
          </w:p>
        </w:tc>
      </w:tr>
      <w:tr w:rsidR="006304C3" w14:paraId="01F065DC" w14:textId="77777777" w:rsidTr="003E2D5A">
        <w:trPr>
          <w:jc w:val="center"/>
        </w:trPr>
        <w:tc>
          <w:tcPr>
            <w:tcW w:w="1091" w:type="dxa"/>
            <w:vAlign w:val="center"/>
          </w:tcPr>
          <w:p w14:paraId="07DA2B48"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2</w:t>
            </w:r>
          </w:p>
        </w:tc>
        <w:tc>
          <w:tcPr>
            <w:tcW w:w="1603" w:type="dxa"/>
            <w:vAlign w:val="center"/>
          </w:tcPr>
          <w:p w14:paraId="57BB2553"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4193B58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5AA79D62"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440183010004000100200</w:t>
            </w:r>
          </w:p>
        </w:tc>
        <w:tc>
          <w:tcPr>
            <w:tcW w:w="1045" w:type="dxa"/>
            <w:vAlign w:val="center"/>
          </w:tcPr>
          <w:p w14:paraId="6B4DB24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80.4</w:t>
            </w:r>
          </w:p>
        </w:tc>
        <w:tc>
          <w:tcPr>
            <w:tcW w:w="900" w:type="dxa"/>
            <w:vAlign w:val="center"/>
          </w:tcPr>
          <w:p w14:paraId="1EBD73C3"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89</w:t>
            </w:r>
          </w:p>
        </w:tc>
        <w:tc>
          <w:tcPr>
            <w:tcW w:w="939" w:type="dxa"/>
            <w:vAlign w:val="center"/>
          </w:tcPr>
          <w:p w14:paraId="650EC034" w14:textId="77777777" w:rsidR="006304C3" w:rsidRDefault="006304C3" w:rsidP="003E2D5A">
            <w:pPr>
              <w:spacing w:line="360" w:lineRule="auto"/>
              <w:jc w:val="center"/>
              <w:rPr>
                <w:rFonts w:ascii="宋体" w:eastAsia="宋体" w:hAnsi="宋体"/>
                <w:szCs w:val="21"/>
              </w:rPr>
            </w:pPr>
            <w:r>
              <w:rPr>
                <w:rFonts w:ascii="宋体" w:eastAsia="宋体" w:hAnsi="宋体"/>
                <w:szCs w:val="21"/>
              </w:rPr>
              <w:t>7156</w:t>
            </w:r>
          </w:p>
        </w:tc>
      </w:tr>
      <w:tr w:rsidR="006304C3" w14:paraId="2DB4DC2F" w14:textId="77777777" w:rsidTr="003E2D5A">
        <w:trPr>
          <w:jc w:val="center"/>
        </w:trPr>
        <w:tc>
          <w:tcPr>
            <w:tcW w:w="1091" w:type="dxa"/>
            <w:vAlign w:val="center"/>
          </w:tcPr>
          <w:p w14:paraId="7E8049A9"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3</w:t>
            </w:r>
          </w:p>
        </w:tc>
        <w:tc>
          <w:tcPr>
            <w:tcW w:w="1603" w:type="dxa"/>
            <w:vAlign w:val="center"/>
          </w:tcPr>
          <w:p w14:paraId="1A96E71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2A2B1560"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51DFBF11"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440183010004000100100</w:t>
            </w:r>
          </w:p>
        </w:tc>
        <w:tc>
          <w:tcPr>
            <w:tcW w:w="1045" w:type="dxa"/>
            <w:vAlign w:val="center"/>
          </w:tcPr>
          <w:p w14:paraId="0FB1DC0D"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80.5</w:t>
            </w:r>
          </w:p>
        </w:tc>
        <w:tc>
          <w:tcPr>
            <w:tcW w:w="900" w:type="dxa"/>
            <w:vAlign w:val="center"/>
          </w:tcPr>
          <w:p w14:paraId="35538F47"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89</w:t>
            </w:r>
          </w:p>
        </w:tc>
        <w:tc>
          <w:tcPr>
            <w:tcW w:w="939" w:type="dxa"/>
            <w:vAlign w:val="center"/>
          </w:tcPr>
          <w:p w14:paraId="61AC653E" w14:textId="77777777" w:rsidR="006304C3" w:rsidRDefault="006304C3" w:rsidP="003E2D5A">
            <w:pPr>
              <w:spacing w:line="360" w:lineRule="auto"/>
              <w:jc w:val="center"/>
              <w:rPr>
                <w:rFonts w:ascii="宋体" w:eastAsia="宋体" w:hAnsi="宋体"/>
                <w:szCs w:val="21"/>
              </w:rPr>
            </w:pPr>
            <w:r>
              <w:rPr>
                <w:rFonts w:ascii="宋体" w:eastAsia="宋体" w:hAnsi="宋体"/>
                <w:szCs w:val="21"/>
              </w:rPr>
              <w:t>7165</w:t>
            </w:r>
          </w:p>
        </w:tc>
      </w:tr>
      <w:tr w:rsidR="006304C3" w14:paraId="60C6F2E2" w14:textId="77777777" w:rsidTr="003E2D5A">
        <w:trPr>
          <w:jc w:val="center"/>
        </w:trPr>
        <w:tc>
          <w:tcPr>
            <w:tcW w:w="1091" w:type="dxa"/>
            <w:vAlign w:val="center"/>
          </w:tcPr>
          <w:p w14:paraId="0E6FB6B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4</w:t>
            </w:r>
          </w:p>
        </w:tc>
        <w:tc>
          <w:tcPr>
            <w:tcW w:w="1603" w:type="dxa"/>
            <w:vAlign w:val="center"/>
          </w:tcPr>
          <w:p w14:paraId="6EC05FF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652D90DE"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东坑</w:t>
            </w:r>
          </w:p>
        </w:tc>
        <w:tc>
          <w:tcPr>
            <w:tcW w:w="2452" w:type="dxa"/>
            <w:vAlign w:val="center"/>
          </w:tcPr>
          <w:p w14:paraId="201B794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440183010004000101100</w:t>
            </w:r>
          </w:p>
        </w:tc>
        <w:tc>
          <w:tcPr>
            <w:tcW w:w="1045" w:type="dxa"/>
            <w:vAlign w:val="center"/>
          </w:tcPr>
          <w:p w14:paraId="59087075" w14:textId="77777777" w:rsidR="006304C3" w:rsidRDefault="006304C3" w:rsidP="003E2D5A">
            <w:pPr>
              <w:spacing w:line="360" w:lineRule="auto"/>
              <w:jc w:val="center"/>
              <w:rPr>
                <w:rFonts w:ascii="宋体" w:eastAsia="宋体" w:hAnsi="宋体"/>
                <w:szCs w:val="21"/>
              </w:rPr>
            </w:pPr>
            <w:r>
              <w:rPr>
                <w:rFonts w:ascii="宋体" w:eastAsia="宋体" w:hAnsi="宋体"/>
                <w:szCs w:val="21"/>
              </w:rPr>
              <w:t>6.1</w:t>
            </w:r>
          </w:p>
        </w:tc>
        <w:tc>
          <w:tcPr>
            <w:tcW w:w="900" w:type="dxa"/>
            <w:vAlign w:val="center"/>
          </w:tcPr>
          <w:p w14:paraId="33CF2646"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89</w:t>
            </w:r>
          </w:p>
        </w:tc>
        <w:tc>
          <w:tcPr>
            <w:tcW w:w="939" w:type="dxa"/>
            <w:vAlign w:val="center"/>
          </w:tcPr>
          <w:p w14:paraId="2CFC293E" w14:textId="77777777" w:rsidR="006304C3" w:rsidRDefault="006304C3" w:rsidP="003E2D5A">
            <w:pPr>
              <w:spacing w:line="360" w:lineRule="auto"/>
              <w:jc w:val="center"/>
              <w:rPr>
                <w:rFonts w:ascii="宋体" w:eastAsia="宋体" w:hAnsi="宋体"/>
                <w:szCs w:val="21"/>
              </w:rPr>
            </w:pPr>
            <w:r>
              <w:rPr>
                <w:rFonts w:ascii="宋体" w:eastAsia="宋体" w:hAnsi="宋体"/>
                <w:szCs w:val="21"/>
              </w:rPr>
              <w:t>543</w:t>
            </w:r>
          </w:p>
        </w:tc>
      </w:tr>
      <w:tr w:rsidR="006304C3" w14:paraId="35E224C5" w14:textId="77777777" w:rsidTr="003E2D5A">
        <w:trPr>
          <w:jc w:val="center"/>
        </w:trPr>
        <w:tc>
          <w:tcPr>
            <w:tcW w:w="1091" w:type="dxa"/>
            <w:vAlign w:val="center"/>
          </w:tcPr>
          <w:p w14:paraId="4B60AD4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lastRenderedPageBreak/>
              <w:t>5</w:t>
            </w:r>
          </w:p>
        </w:tc>
        <w:tc>
          <w:tcPr>
            <w:tcW w:w="1603" w:type="dxa"/>
            <w:vAlign w:val="center"/>
          </w:tcPr>
          <w:p w14:paraId="56E378B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6F9A1596"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053AFBEE"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440183010003000102300</w:t>
            </w:r>
          </w:p>
        </w:tc>
        <w:tc>
          <w:tcPr>
            <w:tcW w:w="1045" w:type="dxa"/>
            <w:vAlign w:val="center"/>
          </w:tcPr>
          <w:p w14:paraId="42DF843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c>
          <w:tcPr>
            <w:tcW w:w="900" w:type="dxa"/>
            <w:vAlign w:val="center"/>
          </w:tcPr>
          <w:p w14:paraId="13E133DD"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c>
          <w:tcPr>
            <w:tcW w:w="939" w:type="dxa"/>
            <w:vAlign w:val="center"/>
          </w:tcPr>
          <w:p w14:paraId="418F69F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r>
      <w:tr w:rsidR="006304C3" w14:paraId="52EB293C" w14:textId="77777777" w:rsidTr="003E2D5A">
        <w:trPr>
          <w:jc w:val="center"/>
        </w:trPr>
        <w:tc>
          <w:tcPr>
            <w:tcW w:w="1091" w:type="dxa"/>
            <w:vAlign w:val="center"/>
          </w:tcPr>
          <w:p w14:paraId="3FA957D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6</w:t>
            </w:r>
          </w:p>
        </w:tc>
        <w:tc>
          <w:tcPr>
            <w:tcW w:w="1603" w:type="dxa"/>
            <w:vAlign w:val="center"/>
          </w:tcPr>
          <w:p w14:paraId="5E9B5E0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0973B9C5"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37AA7204"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440183010003000101700</w:t>
            </w:r>
          </w:p>
        </w:tc>
        <w:tc>
          <w:tcPr>
            <w:tcW w:w="1045" w:type="dxa"/>
            <w:vAlign w:val="center"/>
          </w:tcPr>
          <w:p w14:paraId="20E4C6D1"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c>
          <w:tcPr>
            <w:tcW w:w="900" w:type="dxa"/>
            <w:vAlign w:val="center"/>
          </w:tcPr>
          <w:p w14:paraId="03ABFEB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c>
          <w:tcPr>
            <w:tcW w:w="939" w:type="dxa"/>
            <w:vAlign w:val="center"/>
          </w:tcPr>
          <w:p w14:paraId="7857948F"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r>
      <w:tr w:rsidR="006304C3" w14:paraId="62473C61" w14:textId="77777777" w:rsidTr="003E2D5A">
        <w:trPr>
          <w:jc w:val="center"/>
        </w:trPr>
        <w:tc>
          <w:tcPr>
            <w:tcW w:w="1091" w:type="dxa"/>
            <w:vAlign w:val="center"/>
          </w:tcPr>
          <w:p w14:paraId="2299C33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7</w:t>
            </w:r>
          </w:p>
        </w:tc>
        <w:tc>
          <w:tcPr>
            <w:tcW w:w="1603" w:type="dxa"/>
            <w:vAlign w:val="center"/>
          </w:tcPr>
          <w:p w14:paraId="7FE37F81"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大封门林场</w:t>
            </w:r>
          </w:p>
        </w:tc>
        <w:tc>
          <w:tcPr>
            <w:tcW w:w="755" w:type="dxa"/>
            <w:vAlign w:val="center"/>
          </w:tcPr>
          <w:p w14:paraId="559F663B"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佛</w:t>
            </w:r>
            <w:proofErr w:type="gramStart"/>
            <w:r>
              <w:rPr>
                <w:rFonts w:ascii="宋体" w:eastAsia="宋体" w:hAnsi="宋体" w:hint="eastAsia"/>
                <w:szCs w:val="21"/>
              </w:rPr>
              <w:t>坳</w:t>
            </w:r>
            <w:proofErr w:type="gramEnd"/>
          </w:p>
        </w:tc>
        <w:tc>
          <w:tcPr>
            <w:tcW w:w="2452" w:type="dxa"/>
            <w:vAlign w:val="center"/>
          </w:tcPr>
          <w:p w14:paraId="5F21D4B3" w14:textId="77777777" w:rsidR="006304C3" w:rsidRDefault="006304C3" w:rsidP="003E2D5A">
            <w:pPr>
              <w:spacing w:line="360" w:lineRule="auto"/>
              <w:jc w:val="center"/>
              <w:rPr>
                <w:rFonts w:ascii="宋体" w:eastAsia="宋体" w:hAnsi="宋体"/>
                <w:szCs w:val="21"/>
              </w:rPr>
            </w:pPr>
            <w:r>
              <w:rPr>
                <w:rFonts w:ascii="宋体" w:eastAsia="宋体" w:hAnsi="宋体"/>
                <w:szCs w:val="21"/>
              </w:rPr>
              <w:t>440183010003000102201</w:t>
            </w:r>
          </w:p>
        </w:tc>
        <w:tc>
          <w:tcPr>
            <w:tcW w:w="1045" w:type="dxa"/>
            <w:vAlign w:val="center"/>
          </w:tcPr>
          <w:p w14:paraId="2FE9CD1E" w14:textId="77777777" w:rsidR="006304C3" w:rsidRDefault="006304C3" w:rsidP="003E2D5A">
            <w:pPr>
              <w:spacing w:line="360" w:lineRule="auto"/>
              <w:jc w:val="center"/>
              <w:rPr>
                <w:rFonts w:ascii="宋体" w:eastAsia="宋体" w:hAnsi="宋体"/>
                <w:szCs w:val="21"/>
              </w:rPr>
            </w:pPr>
            <w:r>
              <w:rPr>
                <w:rFonts w:ascii="宋体" w:eastAsia="宋体" w:hAnsi="宋体"/>
                <w:szCs w:val="21"/>
              </w:rPr>
              <w:t>29.7</w:t>
            </w:r>
          </w:p>
        </w:tc>
        <w:tc>
          <w:tcPr>
            <w:tcW w:w="900" w:type="dxa"/>
            <w:vAlign w:val="center"/>
          </w:tcPr>
          <w:p w14:paraId="376EB591" w14:textId="77777777" w:rsidR="006304C3" w:rsidRDefault="006304C3" w:rsidP="003E2D5A">
            <w:pPr>
              <w:spacing w:line="360" w:lineRule="auto"/>
              <w:jc w:val="center"/>
              <w:rPr>
                <w:rFonts w:ascii="宋体" w:eastAsia="宋体" w:hAnsi="宋体"/>
                <w:szCs w:val="21"/>
              </w:rPr>
            </w:pPr>
            <w:r>
              <w:rPr>
                <w:rFonts w:ascii="宋体" w:eastAsia="宋体" w:hAnsi="宋体"/>
                <w:szCs w:val="21"/>
              </w:rPr>
              <w:t>89</w:t>
            </w:r>
          </w:p>
        </w:tc>
        <w:tc>
          <w:tcPr>
            <w:tcW w:w="939" w:type="dxa"/>
            <w:vAlign w:val="center"/>
          </w:tcPr>
          <w:p w14:paraId="2D3841F6" w14:textId="77777777" w:rsidR="006304C3" w:rsidRDefault="006304C3" w:rsidP="003E2D5A">
            <w:pPr>
              <w:spacing w:line="360" w:lineRule="auto"/>
              <w:jc w:val="center"/>
              <w:rPr>
                <w:rFonts w:ascii="宋体" w:eastAsia="宋体" w:hAnsi="宋体"/>
                <w:szCs w:val="21"/>
              </w:rPr>
            </w:pPr>
            <w:r>
              <w:rPr>
                <w:rFonts w:ascii="宋体" w:eastAsia="宋体" w:hAnsi="宋体"/>
                <w:szCs w:val="21"/>
              </w:rPr>
              <w:t>2643</w:t>
            </w:r>
          </w:p>
        </w:tc>
      </w:tr>
      <w:tr w:rsidR="006304C3" w14:paraId="7D3AB9D2" w14:textId="77777777" w:rsidTr="003E2D5A">
        <w:trPr>
          <w:jc w:val="center"/>
        </w:trPr>
        <w:tc>
          <w:tcPr>
            <w:tcW w:w="5901" w:type="dxa"/>
            <w:gridSpan w:val="4"/>
            <w:vAlign w:val="center"/>
          </w:tcPr>
          <w:p w14:paraId="61E4300D" w14:textId="77777777" w:rsidR="006304C3" w:rsidRDefault="006304C3" w:rsidP="003E2D5A">
            <w:pPr>
              <w:spacing w:line="360" w:lineRule="auto"/>
              <w:jc w:val="center"/>
              <w:rPr>
                <w:rFonts w:ascii="宋体" w:eastAsia="宋体" w:hAnsi="宋体"/>
                <w:szCs w:val="21"/>
              </w:rPr>
            </w:pPr>
            <w:r>
              <w:rPr>
                <w:rFonts w:ascii="宋体" w:eastAsia="宋体" w:hAnsi="宋体" w:hint="eastAsia"/>
                <w:szCs w:val="21"/>
              </w:rPr>
              <w:t>合计</w:t>
            </w:r>
          </w:p>
        </w:tc>
        <w:tc>
          <w:tcPr>
            <w:tcW w:w="1045" w:type="dxa"/>
            <w:vAlign w:val="center"/>
          </w:tcPr>
          <w:p w14:paraId="0A144243" w14:textId="77777777" w:rsidR="006304C3" w:rsidRDefault="006304C3" w:rsidP="003E2D5A">
            <w:pPr>
              <w:spacing w:line="360" w:lineRule="auto"/>
              <w:jc w:val="center"/>
              <w:rPr>
                <w:rFonts w:ascii="宋体" w:eastAsia="宋体" w:hAnsi="宋体"/>
                <w:szCs w:val="21"/>
              </w:rPr>
            </w:pPr>
            <w:r>
              <w:rPr>
                <w:rFonts w:ascii="宋体" w:eastAsia="宋体" w:hAnsi="宋体"/>
                <w:szCs w:val="21"/>
              </w:rPr>
              <w:t>200.9</w:t>
            </w:r>
          </w:p>
        </w:tc>
        <w:tc>
          <w:tcPr>
            <w:tcW w:w="900" w:type="dxa"/>
            <w:vAlign w:val="center"/>
          </w:tcPr>
          <w:p w14:paraId="463EA828" w14:textId="77777777" w:rsidR="006304C3" w:rsidRDefault="006304C3" w:rsidP="003E2D5A">
            <w:pPr>
              <w:spacing w:line="360" w:lineRule="auto"/>
              <w:jc w:val="center"/>
              <w:rPr>
                <w:rFonts w:ascii="宋体" w:eastAsia="宋体" w:hAnsi="宋体"/>
                <w:szCs w:val="21"/>
              </w:rPr>
            </w:pPr>
            <w:r>
              <w:rPr>
                <w:rFonts w:ascii="宋体" w:eastAsia="宋体" w:hAnsi="宋体"/>
                <w:szCs w:val="21"/>
              </w:rPr>
              <w:t>/</w:t>
            </w:r>
          </w:p>
        </w:tc>
        <w:tc>
          <w:tcPr>
            <w:tcW w:w="939" w:type="dxa"/>
            <w:vAlign w:val="center"/>
          </w:tcPr>
          <w:p w14:paraId="6CC5D9A0" w14:textId="77777777" w:rsidR="006304C3" w:rsidRDefault="006304C3" w:rsidP="003E2D5A">
            <w:pPr>
              <w:spacing w:line="360" w:lineRule="auto"/>
              <w:jc w:val="center"/>
              <w:rPr>
                <w:rFonts w:ascii="宋体" w:eastAsia="宋体" w:hAnsi="宋体"/>
                <w:szCs w:val="21"/>
              </w:rPr>
            </w:pPr>
            <w:r>
              <w:rPr>
                <w:rFonts w:ascii="宋体" w:eastAsia="宋体" w:hAnsi="宋体"/>
                <w:szCs w:val="21"/>
              </w:rPr>
              <w:t>17881</w:t>
            </w:r>
          </w:p>
        </w:tc>
      </w:tr>
    </w:tbl>
    <w:p w14:paraId="50F7A04E" w14:textId="77777777" w:rsidR="006304C3" w:rsidRDefault="006304C3" w:rsidP="006304C3">
      <w:pPr>
        <w:spacing w:line="360" w:lineRule="auto"/>
        <w:rPr>
          <w:rFonts w:ascii="宋体" w:eastAsia="宋体" w:hAnsi="宋体"/>
          <w:szCs w:val="21"/>
        </w:rPr>
      </w:pPr>
    </w:p>
    <w:p w14:paraId="46CDA34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1.5.2 整地挖穴</w:t>
      </w:r>
    </w:p>
    <w:p w14:paraId="59FDDDE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开挖植穴尽量防止水土流失，禁止炼山和全垦整地。补植</w:t>
      </w:r>
      <w:proofErr w:type="gramStart"/>
      <w:r>
        <w:rPr>
          <w:rFonts w:ascii="宋体" w:eastAsia="宋体" w:hAnsi="宋体" w:hint="eastAsia"/>
          <w:szCs w:val="21"/>
        </w:rPr>
        <w:t>穴</w:t>
      </w:r>
      <w:proofErr w:type="gramEnd"/>
      <w:r>
        <w:rPr>
          <w:rFonts w:ascii="宋体" w:eastAsia="宋体" w:hAnsi="宋体" w:hint="eastAsia"/>
          <w:szCs w:val="21"/>
        </w:rPr>
        <w:t>规格为 50cm×50cm×40cm。</w:t>
      </w:r>
    </w:p>
    <w:p w14:paraId="7B37554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1.5.3 基肥</w:t>
      </w:r>
    </w:p>
    <w:p w14:paraId="14CEE3D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施肥采用沟</w:t>
      </w:r>
      <w:proofErr w:type="gramStart"/>
      <w:r>
        <w:rPr>
          <w:rFonts w:ascii="宋体" w:eastAsia="宋体" w:hAnsi="宋体" w:hint="eastAsia"/>
          <w:szCs w:val="21"/>
        </w:rPr>
        <w:t>状埋施</w:t>
      </w:r>
      <w:proofErr w:type="gramEnd"/>
      <w:r>
        <w:rPr>
          <w:rFonts w:ascii="宋体" w:eastAsia="宋体" w:hAnsi="宋体" w:hint="eastAsia"/>
          <w:szCs w:val="21"/>
        </w:rPr>
        <w:t>，施肥沟位于幼树树冠投影外沿的上坡处，沟深不小于 0.2 米、宽 0.20-0.25 米，将肥料撒入后覆土。每穴基肥施放不少于 0.5 千克复合肥（NPK 含量≥40%）及不少于 1 千克有机肥（有机质含量不低于 40%）。</w:t>
      </w:r>
    </w:p>
    <w:p w14:paraId="6006F27D"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1.5.4 补植密度</w:t>
      </w:r>
    </w:p>
    <w:p w14:paraId="0591814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在</w:t>
      </w:r>
      <w:proofErr w:type="gramStart"/>
      <w:r>
        <w:rPr>
          <w:rFonts w:ascii="宋体" w:eastAsia="宋体" w:hAnsi="宋体" w:hint="eastAsia"/>
          <w:szCs w:val="21"/>
        </w:rPr>
        <w:t>林窗处</w:t>
      </w:r>
      <w:proofErr w:type="gramEnd"/>
      <w:r>
        <w:rPr>
          <w:rFonts w:ascii="宋体" w:eastAsia="宋体" w:hAnsi="宋体" w:hint="eastAsia"/>
          <w:szCs w:val="21"/>
        </w:rPr>
        <w:t>补植目的树种，调整树种结构和林分密度，根据现场调查，补植套种总面积为 200.9 亩，按照 3 米*2.5 米的间距进行补植，每亩补植 89 株。宜在</w:t>
      </w:r>
      <w:proofErr w:type="gramStart"/>
      <w:r>
        <w:rPr>
          <w:rFonts w:ascii="宋体" w:eastAsia="宋体" w:hAnsi="宋体" w:hint="eastAsia"/>
          <w:szCs w:val="21"/>
        </w:rPr>
        <w:t>春季穴</w:t>
      </w:r>
      <w:proofErr w:type="gramEnd"/>
      <w:r>
        <w:rPr>
          <w:rFonts w:ascii="宋体" w:eastAsia="宋体" w:hAnsi="宋体" w:hint="eastAsia"/>
          <w:szCs w:val="21"/>
        </w:rPr>
        <w:t>土充分润湿的阴雨期补植，栽植</w:t>
      </w:r>
      <w:proofErr w:type="gramStart"/>
      <w:r>
        <w:rPr>
          <w:rFonts w:ascii="宋体" w:eastAsia="宋体" w:hAnsi="宋体" w:hint="eastAsia"/>
          <w:szCs w:val="21"/>
        </w:rPr>
        <w:t>时苗要</w:t>
      </w:r>
      <w:proofErr w:type="gramEnd"/>
      <w:r>
        <w:rPr>
          <w:rFonts w:ascii="宋体" w:eastAsia="宋体" w:hAnsi="宋体" w:hint="eastAsia"/>
          <w:szCs w:val="21"/>
        </w:rPr>
        <w:t>扶正，并适当深栽，回土成“馒头状”。</w:t>
      </w:r>
    </w:p>
    <w:p w14:paraId="3A19286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1.5.5 树种选择与配置</w:t>
      </w:r>
    </w:p>
    <w:p w14:paraId="7230E12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公益林树种选择以地带性森林植被群落为参考，以重建地带性森林群落为导向，选择相应的目的树种、伴生树种、景观树种和特色树种进行树种搭配。</w:t>
      </w:r>
    </w:p>
    <w:p w14:paraId="583B2D53"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根据同一自然地理单元地块确定的优化目标，公益</w:t>
      </w:r>
      <w:proofErr w:type="gramStart"/>
      <w:r>
        <w:rPr>
          <w:rFonts w:ascii="宋体" w:eastAsia="宋体" w:hAnsi="宋体" w:hint="eastAsia"/>
          <w:szCs w:val="21"/>
        </w:rPr>
        <w:t>林目的</w:t>
      </w:r>
      <w:proofErr w:type="gramEnd"/>
      <w:r>
        <w:rPr>
          <w:rFonts w:ascii="宋体" w:eastAsia="宋体" w:hAnsi="宋体" w:hint="eastAsia"/>
          <w:szCs w:val="21"/>
        </w:rPr>
        <w:t>树种2种或以上、伴生树种1-2种，树种总数3种或以上。商品林树种选择应突出培育目标和主导功能，目的树种1种或以上、伴生树种1-2种，树种总数2种或以上。本次工程平均补植树种3-4种。首选树种包括观光木、深山含笑、枫香、乌桕、荷木、</w:t>
      </w:r>
      <w:proofErr w:type="gramStart"/>
      <w:r>
        <w:rPr>
          <w:rFonts w:ascii="宋体" w:eastAsia="宋体" w:hAnsi="宋体" w:hint="eastAsia"/>
          <w:szCs w:val="21"/>
        </w:rPr>
        <w:t>半枫荷</w:t>
      </w:r>
      <w:proofErr w:type="gramEnd"/>
      <w:r>
        <w:rPr>
          <w:rFonts w:ascii="宋体" w:eastAsia="宋体" w:hAnsi="宋体" w:hint="eastAsia"/>
          <w:szCs w:val="21"/>
        </w:rPr>
        <w:t>等。备选树种：</w:t>
      </w:r>
      <w:proofErr w:type="gramStart"/>
      <w:r>
        <w:rPr>
          <w:rFonts w:ascii="宋体" w:eastAsia="宋体" w:hAnsi="宋体" w:hint="eastAsia"/>
          <w:szCs w:val="21"/>
        </w:rPr>
        <w:t>桢</w:t>
      </w:r>
      <w:proofErr w:type="gramEnd"/>
      <w:r>
        <w:rPr>
          <w:rFonts w:ascii="宋体" w:eastAsia="宋体" w:hAnsi="宋体" w:hint="eastAsia"/>
          <w:szCs w:val="21"/>
        </w:rPr>
        <w:t>楠、樟树、</w:t>
      </w:r>
      <w:proofErr w:type="gramStart"/>
      <w:r>
        <w:rPr>
          <w:rFonts w:ascii="宋体" w:eastAsia="宋体" w:hAnsi="宋体" w:hint="eastAsia"/>
          <w:szCs w:val="21"/>
        </w:rPr>
        <w:t>红锥等</w:t>
      </w:r>
      <w:proofErr w:type="gramEnd"/>
      <w:r>
        <w:rPr>
          <w:rFonts w:ascii="宋体" w:eastAsia="宋体" w:hAnsi="宋体" w:hint="eastAsia"/>
          <w:szCs w:val="21"/>
        </w:rPr>
        <w:t>。</w:t>
      </w:r>
    </w:p>
    <w:p w14:paraId="7146A8F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作业设计类型 1 配置模式：补植密度 89 株/亩，株行距 3 米*2.5 米，荷木（26 株/亩）、观光木(18 株/亩)、深山含笑(18 株/亩)、</w:t>
      </w:r>
      <w:proofErr w:type="gramStart"/>
      <w:r>
        <w:rPr>
          <w:rFonts w:ascii="宋体" w:eastAsia="宋体" w:hAnsi="宋体" w:hint="eastAsia"/>
          <w:szCs w:val="21"/>
        </w:rPr>
        <w:t>半枫荷</w:t>
      </w:r>
      <w:proofErr w:type="gramEnd"/>
      <w:r>
        <w:rPr>
          <w:rFonts w:ascii="宋体" w:eastAsia="宋体" w:hAnsi="宋体" w:hint="eastAsia"/>
          <w:szCs w:val="21"/>
        </w:rPr>
        <w:t>（27 株/亩）。</w:t>
      </w:r>
    </w:p>
    <w:p w14:paraId="3ECDB19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1.5.6 苗木</w:t>
      </w:r>
    </w:p>
    <w:p w14:paraId="742323B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本次补植苗木选用 1.5 年生以上、苗高 160 厘米以上、地径 2-3厘米生长旺盛的良种容器壮苗。根据广州造林绿化特点和需求，建议根据可及度和作业难度等以及特殊需求、立地、树种可根据相关技术标准执行或根据实践经验选择适宜规格苗木。重点区域、景观节点、乡村绿化可因地制宜选用规格适宜的绿化树种和苗木规格。苗木应有“两证一签</w:t>
      </w:r>
      <w:proofErr w:type="gramStart"/>
      <w:r>
        <w:rPr>
          <w:rFonts w:ascii="宋体" w:eastAsia="宋体" w:hAnsi="宋体" w:hint="eastAsia"/>
          <w:szCs w:val="21"/>
        </w:rPr>
        <w:t>一</w:t>
      </w:r>
      <w:proofErr w:type="gramEnd"/>
      <w:r>
        <w:rPr>
          <w:rFonts w:ascii="宋体" w:eastAsia="宋体" w:hAnsi="宋体" w:hint="eastAsia"/>
          <w:szCs w:val="21"/>
        </w:rPr>
        <w:t>说明”，优先采用保障性苗圃定单育苗、定向供苗，推荐轻基质、降解无纺布容器育苗，严禁用老苗、残次苗及有</w:t>
      </w:r>
      <w:proofErr w:type="gramStart"/>
      <w:r>
        <w:rPr>
          <w:rFonts w:ascii="宋体" w:eastAsia="宋体" w:hAnsi="宋体" w:hint="eastAsia"/>
          <w:szCs w:val="21"/>
        </w:rPr>
        <w:t>薇</w:t>
      </w:r>
      <w:proofErr w:type="gramEnd"/>
      <w:r>
        <w:rPr>
          <w:rFonts w:ascii="宋体" w:eastAsia="宋体" w:hAnsi="宋体" w:hint="eastAsia"/>
          <w:szCs w:val="21"/>
        </w:rPr>
        <w:t>甘菊为害的场圃调入苗木。</w:t>
      </w:r>
    </w:p>
    <w:p w14:paraId="031DAA8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新苗栽植后一个月内要检查成活情况，发现</w:t>
      </w:r>
      <w:proofErr w:type="gramStart"/>
      <w:r>
        <w:rPr>
          <w:rFonts w:ascii="宋体" w:eastAsia="宋体" w:hAnsi="宋体" w:hint="eastAsia"/>
          <w:szCs w:val="21"/>
        </w:rPr>
        <w:t>死株及时</w:t>
      </w:r>
      <w:proofErr w:type="gramEnd"/>
      <w:r>
        <w:rPr>
          <w:rFonts w:ascii="宋体" w:eastAsia="宋体" w:hAnsi="宋体" w:hint="eastAsia"/>
          <w:szCs w:val="21"/>
        </w:rPr>
        <w:t>清理死苗，一周内补植回原来的种类并力求规格与原来植株接近，以保证优良的效果。补植按照种植规范进行，施足基肥并加强淋水等保养措施，保证成活率。</w:t>
      </w:r>
    </w:p>
    <w:p w14:paraId="2423B38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lastRenderedPageBreak/>
        <w:t>1.5.7 抚育追肥</w:t>
      </w:r>
    </w:p>
    <w:p w14:paraId="08AAAAD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本工程对新补植苗木进行 3 年 6 次（2024-2026 年 9-10 月各施1 次复合肥 0.5kg，共 3 次；2025 年-2027 年的 4-5 月各施放一次有机肥 1kg 和复合肥 0.5kg，共 3 次。）抚育追肥。施肥采用沟</w:t>
      </w:r>
      <w:proofErr w:type="gramStart"/>
      <w:r>
        <w:rPr>
          <w:rFonts w:ascii="宋体" w:eastAsia="宋体" w:hAnsi="宋体" w:hint="eastAsia"/>
          <w:szCs w:val="21"/>
        </w:rPr>
        <w:t>状埋施</w:t>
      </w:r>
      <w:proofErr w:type="gramEnd"/>
      <w:r>
        <w:rPr>
          <w:rFonts w:ascii="宋体" w:eastAsia="宋体" w:hAnsi="宋体" w:hint="eastAsia"/>
          <w:szCs w:val="21"/>
        </w:rPr>
        <w:t>，施肥沟位于</w:t>
      </w:r>
      <w:proofErr w:type="gramStart"/>
      <w:r>
        <w:rPr>
          <w:rFonts w:ascii="宋体" w:eastAsia="宋体" w:hAnsi="宋体" w:hint="eastAsia"/>
          <w:szCs w:val="21"/>
        </w:rPr>
        <w:t>幼</w:t>
      </w:r>
      <w:proofErr w:type="gramEnd"/>
      <w:r>
        <w:rPr>
          <w:rFonts w:ascii="宋体" w:eastAsia="宋体" w:hAnsi="宋体" w:hint="eastAsia"/>
          <w:szCs w:val="21"/>
        </w:rPr>
        <w:t>树冠投影外沿的上坡处，沟深不小于 0.2 米、宽 0.20-0.25 米，将肥料撒入后覆土。每穴基肥施放 0.5 千克复合肥(NPK 含量≥40%)和 1 千克有机肥（有机质含量不低于 40%）。</w:t>
      </w:r>
    </w:p>
    <w:p w14:paraId="1667F8E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 有害生物防治</w:t>
      </w:r>
    </w:p>
    <w:p w14:paraId="2DC5969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结合周边林木的巡查，对项目建设林地进行经常性的巡查，发现有害生物及时进行防治。</w:t>
      </w:r>
    </w:p>
    <w:p w14:paraId="102F917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 宣传牌</w:t>
      </w:r>
    </w:p>
    <w:p w14:paraId="0BECAEA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于林区的主要入口和群众活动频繁的地段，按照工区划分，每个工区树立 1 </w:t>
      </w:r>
      <w:proofErr w:type="gramStart"/>
      <w:r>
        <w:rPr>
          <w:rFonts w:ascii="宋体" w:eastAsia="宋体" w:hAnsi="宋体" w:hint="eastAsia"/>
          <w:szCs w:val="21"/>
        </w:rPr>
        <w:t>个</w:t>
      </w:r>
      <w:proofErr w:type="gramEnd"/>
      <w:r>
        <w:rPr>
          <w:rFonts w:ascii="宋体" w:eastAsia="宋体" w:hAnsi="宋体" w:hint="eastAsia"/>
          <w:szCs w:val="21"/>
        </w:rPr>
        <w:t xml:space="preserve">宣传牌，并根据作业区位置分布，共树立 4 </w:t>
      </w:r>
      <w:proofErr w:type="gramStart"/>
      <w:r>
        <w:rPr>
          <w:rFonts w:ascii="宋体" w:eastAsia="宋体" w:hAnsi="宋体" w:hint="eastAsia"/>
          <w:szCs w:val="21"/>
        </w:rPr>
        <w:t>个</w:t>
      </w:r>
      <w:proofErr w:type="gramEnd"/>
      <w:r>
        <w:rPr>
          <w:rFonts w:ascii="宋体" w:eastAsia="宋体" w:hAnsi="宋体" w:hint="eastAsia"/>
          <w:szCs w:val="21"/>
        </w:rPr>
        <w:t>宣传牌，树立宽 1.5m×2m 锌铁搪瓷宣传牌，将抚育林区的范围、面积、封山措施、建设单位、负责人、护林员、项目名称、建设期等标上宣传牌，见下图 1 宣传牌示意图。</w:t>
      </w:r>
    </w:p>
    <w:p w14:paraId="11F4A1B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 配置专职护林员</w:t>
      </w:r>
    </w:p>
    <w:p w14:paraId="70EBF48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配置专职护林员进行日常巡山管护，严防人畜破坏，并加强病虫害防治工作，巩固造林成效。护林员巡山时若发现生长不良或发生病虫害的林木，应进行登记，并及时报告林业部门进行核查，由林业部门研究预防对策，把病虫害带来的损失控制在最低水平。本次工程护林员年限共 3 年。护林员原则上一年一聘，签订管护合同，登记造册，统一管理。管护单位应合理划分管护区域配置专职护林员。集体和个人所有的生态公益林的护林员数量根据当地实际情况合理配备。</w:t>
      </w:r>
    </w:p>
    <w:p w14:paraId="2710576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护林员选择要求：</w:t>
      </w:r>
    </w:p>
    <w:p w14:paraId="38F5D02D"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1、要熟悉管护责任区的村情、山情、民情；</w:t>
      </w:r>
    </w:p>
    <w:p w14:paraId="49402C4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2、热心林业事业，群众基础好，有一定威信，长期在本地生产、生活；</w:t>
      </w:r>
    </w:p>
    <w:p w14:paraId="3DF0A3F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3、有高度的工作责任心、事业心和良好的职业道德；</w:t>
      </w:r>
    </w:p>
    <w:p w14:paraId="53D04A8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4、拥有健康的体魄，年龄在 20-55 周岁的公民；</w:t>
      </w:r>
    </w:p>
    <w:p w14:paraId="78C8BFB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5、了解林业法律、法规以及相关的国家政策；</w:t>
      </w:r>
    </w:p>
    <w:p w14:paraId="486EB32E"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6、能够服从组织领导。</w:t>
      </w:r>
    </w:p>
    <w:p w14:paraId="59DCC97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护林员的主要职责：</w:t>
      </w:r>
    </w:p>
    <w:p w14:paraId="0628FD2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1、宣传、贯彻林业法律、法规、方针、政策，做好森林资源和相关保护标志、设施的保护工作。</w:t>
      </w:r>
    </w:p>
    <w:p w14:paraId="6D8543E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定期巡护责任林区，对盗伐滥伐、乱捕滥猎、乱采滥挖、乱占滥用林地、违章野外用火以及不按采伐许可证规定的内容和要求采伐林木的单位和个人，护林员应当制止并报请当地有关部门进行处理。护林员每月巡护不少于 6 次（防火期内应坚持每天巡护），并据实记录巡山日记，记载林业生产、管护等方面的情况。</w:t>
      </w:r>
    </w:p>
    <w:p w14:paraId="2C8A89E6"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3、协助乡村管护责任单位开展森林防火宣传、火灾调查、林木病虫害测报与防治；及时报告火警和病虫疫情。</w:t>
      </w:r>
    </w:p>
    <w:p w14:paraId="59D910F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lastRenderedPageBreak/>
        <w:t>4、协助有关单位开展责任区内生态公益林的营造、抚育和监测工作。</w:t>
      </w:r>
    </w:p>
    <w:p w14:paraId="776DFBA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5、依法协助处理</w:t>
      </w:r>
      <w:proofErr w:type="gramStart"/>
      <w:r>
        <w:rPr>
          <w:rFonts w:ascii="宋体" w:eastAsia="宋体" w:hAnsi="宋体" w:hint="eastAsia"/>
          <w:szCs w:val="21"/>
        </w:rPr>
        <w:t>本责任</w:t>
      </w:r>
      <w:proofErr w:type="gramEnd"/>
      <w:r>
        <w:rPr>
          <w:rFonts w:ascii="宋体" w:eastAsia="宋体" w:hAnsi="宋体" w:hint="eastAsia"/>
          <w:szCs w:val="21"/>
        </w:rPr>
        <w:t>山区林地权属纠纷。</w:t>
      </w:r>
    </w:p>
    <w:p w14:paraId="515CEB0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6、参加护林员工作例会，及时了解上级各项通知精神和反映基础群众的要求和问题。</w:t>
      </w:r>
    </w:p>
    <w:p w14:paraId="74B2050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护林员的权利：</w:t>
      </w:r>
    </w:p>
    <w:p w14:paraId="6C788775"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对不听劝阻野外用火单位或个人，护林员有权制止并报请有关部门按规定予以行政处罚。</w:t>
      </w:r>
    </w:p>
    <w:p w14:paraId="66F17522"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对滥砍滥伐、乱捕滥猎等破坏森林资源的行为，护林员有权制止，并报告</w:t>
      </w:r>
      <w:proofErr w:type="gramStart"/>
      <w:r>
        <w:rPr>
          <w:rFonts w:ascii="宋体" w:eastAsia="宋体" w:hAnsi="宋体" w:hint="eastAsia"/>
          <w:szCs w:val="21"/>
        </w:rPr>
        <w:t>当地部门</w:t>
      </w:r>
      <w:proofErr w:type="gramEnd"/>
      <w:r>
        <w:rPr>
          <w:rFonts w:ascii="宋体" w:eastAsia="宋体" w:hAnsi="宋体" w:hint="eastAsia"/>
          <w:szCs w:val="21"/>
        </w:rPr>
        <w:t>处理。</w:t>
      </w:r>
    </w:p>
    <w:p w14:paraId="58278D4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对不按照采伐许可证规定的内容和要求进行采伐林木的行为，护林员有权制止采伐，并向林业中心汇报。</w:t>
      </w:r>
    </w:p>
    <w:p w14:paraId="0063437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对阻碍护林员依法管理或打击报复的，由公安司法机关按照相关法律进行处罚，构成犯罪的，依法追究法律责任。</w:t>
      </w:r>
    </w:p>
    <w:p w14:paraId="7B201D4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护林员工作的考核：</w:t>
      </w:r>
    </w:p>
    <w:p w14:paraId="1A10CA2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护林员工</w:t>
      </w:r>
      <w:proofErr w:type="gramStart"/>
      <w:r>
        <w:rPr>
          <w:rFonts w:ascii="宋体" w:eastAsia="宋体" w:hAnsi="宋体" w:hint="eastAsia"/>
          <w:szCs w:val="21"/>
        </w:rPr>
        <w:t>作考核</w:t>
      </w:r>
      <w:proofErr w:type="gramEnd"/>
      <w:r>
        <w:rPr>
          <w:rFonts w:ascii="宋体" w:eastAsia="宋体" w:hAnsi="宋体" w:hint="eastAsia"/>
          <w:szCs w:val="21"/>
        </w:rPr>
        <w:t>制度，以护林员工作职责为依据，结合个人实际工作开展工作进行奖惩。林业中心每年对护林员工作情况进行一次全面的考核，同时开展抽查考核，奖优惩劣。</w:t>
      </w:r>
    </w:p>
    <w:p w14:paraId="1126E38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1、护林员工作期间有以下情况之一，给予表扬或奖励：</w:t>
      </w:r>
    </w:p>
    <w:p w14:paraId="1BF26FFB"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①模范履行工作职责，管护期间无森林火警、无盗砍盗伐、无侵占林地等案件发生，林木管护工作取得显著成绩的。</w:t>
      </w:r>
    </w:p>
    <w:p w14:paraId="3EBEB8C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②制止破坏集体林木资源行为，集体林木资源免遭重大损失的，并全面完成考核指标的。</w:t>
      </w:r>
    </w:p>
    <w:p w14:paraId="35C3F79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③严格执行森林防火法规，预防和扑救措施得力，在森林防火责任区内，保持无森林火灾出现的。</w:t>
      </w:r>
    </w:p>
    <w:p w14:paraId="39FE76B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④依法制止或者检举非法侵占林地和破坏林地、乱占滥用林地直接责任人有功的。</w:t>
      </w:r>
    </w:p>
    <w:p w14:paraId="721DCF1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2、护林员工作期间有以下情况之一的，应按情节轻重给予处罚或解聘。</w:t>
      </w:r>
    </w:p>
    <w:p w14:paraId="7C9E28B9"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①因玩忽职守，不履行管理职责，造成本责任区森林资源损失的。</w:t>
      </w:r>
    </w:p>
    <w:p w14:paraId="5A8D4827"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②在本责任区内有森林火灾隐患，不知情、不报告，对森林火灾隐患知情而不采取措施消除，导致森林火灾发生的。</w:t>
      </w:r>
    </w:p>
    <w:p w14:paraId="7915DF40"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③擅自同意违法用地单位和个人进入林地施工，或者不知情、不制止、不报告，造成林地破坏的。</w:t>
      </w:r>
    </w:p>
    <w:p w14:paraId="57228758"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④对盗伐和滥伐森林行为不知情、不制止、不报告，致使森林资源遭受损失的。</w:t>
      </w:r>
    </w:p>
    <w:p w14:paraId="62AF26C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⑤以权谋私，监守自盗、弄虚作假，致使森林资源遭受损失的。</w:t>
      </w:r>
    </w:p>
    <w:p w14:paraId="746FFBD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⑥未按规定完成上级安排工作的，以及管护工作不积极，工作作风懒散，群众反映强烈的。</w:t>
      </w:r>
    </w:p>
    <w:p w14:paraId="071CFC2A"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⑦无故不参加护林员例会的。</w:t>
      </w:r>
    </w:p>
    <w:p w14:paraId="7E028C61" w14:textId="77777777" w:rsidR="006304C3" w:rsidRDefault="006304C3" w:rsidP="006304C3">
      <w:pPr>
        <w:spacing w:line="360" w:lineRule="auto"/>
        <w:ind w:firstLineChars="200" w:firstLine="420"/>
        <w:rPr>
          <w:rFonts w:ascii="宋体" w:eastAsia="宋体" w:hAnsi="宋体"/>
          <w:szCs w:val="21"/>
        </w:rPr>
      </w:pPr>
    </w:p>
    <w:p w14:paraId="42D05D20"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七、工程量与物资量</w:t>
      </w:r>
    </w:p>
    <w:p w14:paraId="4E916014"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1</w:t>
      </w:r>
      <w:r>
        <w:rPr>
          <w:rFonts w:ascii="宋体" w:eastAsia="宋体" w:hAnsi="宋体"/>
          <w:szCs w:val="21"/>
        </w:rPr>
        <w:t>.</w:t>
      </w:r>
      <w:r>
        <w:rPr>
          <w:rFonts w:ascii="宋体" w:eastAsia="宋体" w:hAnsi="宋体" w:hint="eastAsia"/>
          <w:szCs w:val="21"/>
        </w:rPr>
        <w:t>工程量</w:t>
      </w:r>
    </w:p>
    <w:p w14:paraId="3A1FB5B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本次大径级森林培育工程建设面积5164.5 亩，其中林地清理7 次共10637.3 亩，整形修枝</w:t>
      </w:r>
      <w:r>
        <w:rPr>
          <w:rFonts w:ascii="宋体" w:eastAsia="宋体" w:hAnsi="宋体" w:hint="eastAsia"/>
          <w:szCs w:val="21"/>
        </w:rPr>
        <w:lastRenderedPageBreak/>
        <w:t>106093 株，详见附表7-1。</w:t>
      </w:r>
    </w:p>
    <w:p w14:paraId="6D8BB84C"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2</w:t>
      </w:r>
      <w:r>
        <w:rPr>
          <w:rFonts w:ascii="宋体" w:eastAsia="宋体" w:hAnsi="宋体"/>
          <w:szCs w:val="21"/>
        </w:rPr>
        <w:t>.</w:t>
      </w:r>
      <w:r>
        <w:rPr>
          <w:rFonts w:ascii="宋体" w:eastAsia="宋体" w:hAnsi="宋体" w:hint="eastAsia"/>
          <w:szCs w:val="21"/>
        </w:rPr>
        <w:t>物资需求量</w:t>
      </w:r>
    </w:p>
    <w:p w14:paraId="242A34FF" w14:textId="77777777" w:rsidR="006304C3" w:rsidRDefault="006304C3" w:rsidP="006304C3">
      <w:pPr>
        <w:spacing w:line="360" w:lineRule="auto"/>
        <w:ind w:firstLineChars="200" w:firstLine="420"/>
        <w:rPr>
          <w:rFonts w:ascii="宋体" w:eastAsia="宋体" w:hAnsi="宋体"/>
          <w:szCs w:val="21"/>
        </w:rPr>
      </w:pPr>
      <w:r>
        <w:rPr>
          <w:rFonts w:ascii="宋体" w:eastAsia="宋体" w:hAnsi="宋体" w:hint="eastAsia"/>
          <w:szCs w:val="21"/>
        </w:rPr>
        <w:t xml:space="preserve">本次大径级森林培育工程共需肥料 1882796.85 千克，其中有机肥1004159千克，复合肥878638千克；补植苗木17881株，宣传牌4 </w:t>
      </w:r>
      <w:proofErr w:type="gramStart"/>
      <w:r>
        <w:rPr>
          <w:rFonts w:ascii="宋体" w:eastAsia="宋体" w:hAnsi="宋体" w:hint="eastAsia"/>
          <w:szCs w:val="21"/>
        </w:rPr>
        <w:t>个</w:t>
      </w:r>
      <w:proofErr w:type="gramEnd"/>
      <w:r>
        <w:rPr>
          <w:rFonts w:ascii="宋体" w:eastAsia="宋体" w:hAnsi="宋体" w:hint="eastAsia"/>
          <w:szCs w:val="21"/>
        </w:rPr>
        <w:t>，详见附表7-1。</w:t>
      </w:r>
    </w:p>
    <w:p w14:paraId="023FD802" w14:textId="77777777" w:rsidR="006304C3" w:rsidRDefault="006304C3" w:rsidP="006304C3">
      <w:pPr>
        <w:spacing w:line="360" w:lineRule="auto"/>
        <w:jc w:val="center"/>
        <w:rPr>
          <w:rFonts w:ascii="宋体" w:eastAsia="宋体" w:hAnsi="宋体"/>
          <w:szCs w:val="21"/>
        </w:rPr>
      </w:pPr>
      <w:r>
        <w:rPr>
          <w:rFonts w:ascii="宋体" w:eastAsia="宋体" w:hAnsi="宋体" w:hint="eastAsia"/>
          <w:szCs w:val="21"/>
        </w:rPr>
        <w:t>表7-1 大径级森林培育项目作业设计工程量和物资需要量表</w:t>
      </w:r>
    </w:p>
    <w:p w14:paraId="664E6F22" w14:textId="77777777" w:rsidR="006304C3" w:rsidRDefault="006304C3" w:rsidP="006304C3">
      <w:pPr>
        <w:spacing w:line="360" w:lineRule="auto"/>
        <w:rPr>
          <w:rFonts w:ascii="宋体" w:eastAsia="宋体" w:hAnsi="宋体"/>
          <w:szCs w:val="21"/>
        </w:rPr>
      </w:pPr>
      <w:r>
        <w:rPr>
          <w:rFonts w:ascii="宋体" w:eastAsia="宋体" w:hAnsi="宋体"/>
          <w:noProof/>
          <w:szCs w:val="21"/>
        </w:rPr>
        <w:drawing>
          <wp:inline distT="0" distB="0" distL="0" distR="0" wp14:anchorId="3FCC928E" wp14:editId="261F31A5">
            <wp:extent cx="6052820" cy="2255520"/>
            <wp:effectExtent l="0" t="0" r="5080" b="0"/>
            <wp:docPr id="1403930414"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930414" name="图片 1" descr="表格&#10;&#10;描述已自动生成"/>
                    <pic:cNvPicPr>
                      <a:picLocks noChangeAspect="1"/>
                    </pic:cNvPicPr>
                  </pic:nvPicPr>
                  <pic:blipFill>
                    <a:blip r:embed="rId12"/>
                    <a:stretch>
                      <a:fillRect/>
                    </a:stretch>
                  </pic:blipFill>
                  <pic:spPr>
                    <a:xfrm>
                      <a:off x="0" y="0"/>
                      <a:ext cx="6064713" cy="2259847"/>
                    </a:xfrm>
                    <a:prstGeom prst="rect">
                      <a:avLst/>
                    </a:prstGeom>
                  </pic:spPr>
                </pic:pic>
              </a:graphicData>
            </a:graphic>
          </wp:inline>
        </w:drawing>
      </w:r>
    </w:p>
    <w:p w14:paraId="6A0A6436" w14:textId="77777777" w:rsidR="006304C3" w:rsidRDefault="006304C3" w:rsidP="006304C3">
      <w:pPr>
        <w:spacing w:line="360" w:lineRule="auto"/>
        <w:ind w:firstLineChars="200" w:firstLine="420"/>
        <w:rPr>
          <w:rFonts w:ascii="宋体" w:eastAsia="宋体" w:hAnsi="宋体"/>
          <w:szCs w:val="21"/>
        </w:rPr>
      </w:pPr>
    </w:p>
    <w:p w14:paraId="2BB35BF0"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八</w:t>
      </w:r>
      <w:r>
        <w:rPr>
          <w:rFonts w:ascii="宋体" w:eastAsia="宋体" w:hAnsi="宋体"/>
          <w:sz w:val="21"/>
          <w:szCs w:val="21"/>
        </w:rPr>
        <w:t>、工作人员配置及要求</w:t>
      </w:r>
    </w:p>
    <w:p w14:paraId="1ADAC46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（一）项目负责人要求：</w:t>
      </w:r>
    </w:p>
    <w:p w14:paraId="55AC8DEF"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要求具有林</w:t>
      </w:r>
      <w:r w:rsidRPr="005148F2">
        <w:rPr>
          <w:rFonts w:ascii="宋体" w:eastAsia="宋体" w:hAnsi="宋体"/>
          <w:szCs w:val="21"/>
        </w:rPr>
        <w:t>业或园林中级(或以上)技术职称，具有</w:t>
      </w:r>
      <w:r w:rsidRPr="005148F2">
        <w:rPr>
          <w:rFonts w:ascii="宋体" w:eastAsia="宋体" w:hAnsi="宋体" w:hint="eastAsia"/>
          <w:szCs w:val="21"/>
        </w:rPr>
        <w:t>专</w:t>
      </w:r>
      <w:r w:rsidRPr="005148F2">
        <w:rPr>
          <w:rFonts w:ascii="宋体" w:eastAsia="宋体" w:hAnsi="宋体"/>
          <w:szCs w:val="21"/>
        </w:rPr>
        <w:t>科或以上学历，且具备一定的项目经验，责任心强并具有良好的沟通协调能力，安全生产管理能力。对管理工作经常做到全面检查，并指导、督促在岗工作人员按要求进行工作安排，发现问题要立即组织人员及时处理，并按采购人要求参加例会。项目负责人的电话24小时开通，更换要及时通知，以方便沟通联系。对派驻工作人员的工作进行指导、培训、考核及评定等，审定报送给</w:t>
      </w:r>
      <w:r>
        <w:rPr>
          <w:rFonts w:ascii="宋体" w:eastAsia="宋体" w:hAnsi="宋体"/>
          <w:szCs w:val="21"/>
        </w:rPr>
        <w:t>采购人的文件材料，办理支付手续，收集、整理管理过程产生的全部图纸、档案资料并根据采购人要求进行移交。</w:t>
      </w:r>
    </w:p>
    <w:p w14:paraId="57CDFBB7"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（二）项目技术负责人要求：</w:t>
      </w:r>
    </w:p>
    <w:p w14:paraId="143E78E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要求具有林业或园林中级(或以上)技术职称</w:t>
      </w:r>
      <w:r w:rsidRPr="005148F2">
        <w:rPr>
          <w:rFonts w:ascii="宋体" w:eastAsia="宋体" w:hAnsi="宋体"/>
          <w:szCs w:val="21"/>
        </w:rPr>
        <w:t>，具有</w:t>
      </w:r>
      <w:r w:rsidRPr="005148F2">
        <w:rPr>
          <w:rFonts w:ascii="宋体" w:eastAsia="宋体" w:hAnsi="宋体" w:hint="eastAsia"/>
          <w:szCs w:val="21"/>
        </w:rPr>
        <w:t>专</w:t>
      </w:r>
      <w:r w:rsidRPr="005148F2">
        <w:rPr>
          <w:rFonts w:ascii="宋体" w:eastAsia="宋体" w:hAnsi="宋体"/>
          <w:szCs w:val="21"/>
        </w:rPr>
        <w:t>科或以上学历</w:t>
      </w:r>
      <w:r>
        <w:rPr>
          <w:rFonts w:ascii="宋体" w:eastAsia="宋体" w:hAnsi="宋体"/>
          <w:szCs w:val="21"/>
        </w:rPr>
        <w:t>，且具备一定的项目经验，有较丰富的现场管理经验，工作责任心强，具有良好的沟通协调能力，熟悉掌握设计图纸和林分改造技术，对日常工作做到经常全面检查，指导、督促在岗人员按要求做好本职工作，发现问题要立即组织人员及时处理，积极与采购人沟通工作经验，参与采购人组织的例会，积极完成上级下达的工作任务。</w:t>
      </w:r>
    </w:p>
    <w:p w14:paraId="3BB1964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（三）其他人员要求：</w:t>
      </w:r>
    </w:p>
    <w:p w14:paraId="26DE0F03"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中标供应商需为本项目配备</w:t>
      </w:r>
      <w:r w:rsidRPr="00186ED9">
        <w:rPr>
          <w:rFonts w:ascii="宋体" w:eastAsia="宋体" w:hAnsi="宋体" w:hint="eastAsia"/>
          <w:szCs w:val="21"/>
        </w:rPr>
        <w:t>林业或园林工程师、森林病虫害防治员、造林更新工、林木种苗工、土壤检测人员、安全员</w:t>
      </w:r>
      <w:r>
        <w:rPr>
          <w:rFonts w:ascii="宋体" w:eastAsia="宋体" w:hAnsi="宋体"/>
          <w:szCs w:val="21"/>
        </w:rPr>
        <w:t>等人员。上述人员原则上一年一聘，登记造册，统一管理。要熟悉管护责任区的村情、山情、民情；有高度的工作责任心、事业心和良好的职业道德；拥有健康的体魄；了解林业法律、法规以及相关的国家政策；能够服从组织领导。</w:t>
      </w:r>
    </w:p>
    <w:p w14:paraId="2FF29FF0"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lastRenderedPageBreak/>
        <w:t>九</w:t>
      </w:r>
      <w:r>
        <w:rPr>
          <w:rFonts w:ascii="宋体" w:eastAsia="宋体" w:hAnsi="宋体"/>
          <w:sz w:val="21"/>
          <w:szCs w:val="21"/>
        </w:rPr>
        <w:t>、工作机械配备及要求：</w:t>
      </w:r>
    </w:p>
    <w:p w14:paraId="09EE765C"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为保障本项目工作质量和实现项目效益，中标供应商应投入相关机械设备服务于本项目，包括但不限于管理用车，无人机、打药机，油锯，枝剪等能保障工作所需的各种器械工具和物料。</w:t>
      </w:r>
    </w:p>
    <w:p w14:paraId="1C3F556E"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十</w:t>
      </w:r>
      <w:r>
        <w:rPr>
          <w:rFonts w:ascii="宋体" w:eastAsia="宋体" w:hAnsi="宋体"/>
          <w:sz w:val="21"/>
          <w:szCs w:val="21"/>
        </w:rPr>
        <w:t>、中标供应商主要职责</w:t>
      </w:r>
    </w:p>
    <w:p w14:paraId="44BD24A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（一）宣传、贯彻林业法律、法规、方针、政策，做好森林资源和相关保护标志、设施的保护工作。</w:t>
      </w:r>
    </w:p>
    <w:p w14:paraId="2734877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定期巡护责任林区，对盗伐滥伐、乱捕滥猎、乱采滥挖、乱占滥用林地、违章野外用火以及不按采伐许可证规定的内容和要求采伐林木的单位和个人，中标供应商应当制止并报请当地有关部门进行处理。中标供应商每月巡护时间应不少于22天（防火期内应坚持每天巡护），并据实记录巡山日记，记载林业生产、管护等方面的情况。</w:t>
      </w:r>
    </w:p>
    <w:p w14:paraId="253CD34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（三）协助乡村管护责任单位开展森林防火宣传、火灾调查、林木病虫害测报与防治；及时报告火警和病虫疫情。</w:t>
      </w:r>
    </w:p>
    <w:p w14:paraId="2982A489"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（四）协助有关单位开展责任区内生态公益林的营造、抚育和监测工作。</w:t>
      </w:r>
    </w:p>
    <w:p w14:paraId="13EEEFC4"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（五）依法协助处理</w:t>
      </w:r>
      <w:proofErr w:type="gramStart"/>
      <w:r>
        <w:rPr>
          <w:rFonts w:ascii="宋体" w:eastAsia="宋体" w:hAnsi="宋体"/>
          <w:szCs w:val="21"/>
        </w:rPr>
        <w:t>本责任</w:t>
      </w:r>
      <w:proofErr w:type="gramEnd"/>
      <w:r>
        <w:rPr>
          <w:rFonts w:ascii="宋体" w:eastAsia="宋体" w:hAnsi="宋体"/>
          <w:szCs w:val="21"/>
        </w:rPr>
        <w:t>山区林地权属纠纷。</w:t>
      </w:r>
    </w:p>
    <w:p w14:paraId="5070FD6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（六）参加工作例会，及时了解上级各项通知精神和反映基础群众的要求和问题。</w:t>
      </w:r>
    </w:p>
    <w:p w14:paraId="19B74CE4"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十一</w:t>
      </w:r>
      <w:r>
        <w:rPr>
          <w:rFonts w:ascii="宋体" w:eastAsia="宋体" w:hAnsi="宋体"/>
          <w:sz w:val="21"/>
          <w:szCs w:val="21"/>
        </w:rPr>
        <w:t>、中标供应商的权利</w:t>
      </w:r>
    </w:p>
    <w:p w14:paraId="280D77D5"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（一）对不听劝阻野外用火单位或个人，中标供应商有权制止并报请有关部门按规定予以行政处罚。</w:t>
      </w:r>
    </w:p>
    <w:p w14:paraId="27BAF847"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（二）对滥砍滥伐、乱捕滥猎等破坏森林资源的行为，中标供应商有权制止，并报告</w:t>
      </w:r>
      <w:proofErr w:type="gramStart"/>
      <w:r>
        <w:rPr>
          <w:rFonts w:ascii="宋体" w:eastAsia="宋体" w:hAnsi="宋体"/>
          <w:szCs w:val="21"/>
        </w:rPr>
        <w:t>当地部门</w:t>
      </w:r>
      <w:proofErr w:type="gramEnd"/>
      <w:r>
        <w:rPr>
          <w:rFonts w:ascii="宋体" w:eastAsia="宋体" w:hAnsi="宋体"/>
          <w:szCs w:val="21"/>
        </w:rPr>
        <w:t>处理。</w:t>
      </w:r>
    </w:p>
    <w:p w14:paraId="4AD383B9"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（三）对不按照采伐许可证规定的内容和要求进行采伐林木的行为，中标供应商有权制止采伐，并向采购人汇报。</w:t>
      </w:r>
    </w:p>
    <w:p w14:paraId="2F71386F"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（四）对阻碍中标供应</w:t>
      </w:r>
      <w:proofErr w:type="gramStart"/>
      <w:r>
        <w:rPr>
          <w:rFonts w:ascii="宋体" w:eastAsia="宋体" w:hAnsi="宋体"/>
          <w:szCs w:val="21"/>
        </w:rPr>
        <w:t>商依法</w:t>
      </w:r>
      <w:proofErr w:type="gramEnd"/>
      <w:r>
        <w:rPr>
          <w:rFonts w:ascii="宋体" w:eastAsia="宋体" w:hAnsi="宋体"/>
          <w:szCs w:val="21"/>
        </w:rPr>
        <w:t>管理或打击报复的，由公安司法机关按照相关法律进行处罚，构成犯罪的，依法追究法律责任。</w:t>
      </w:r>
    </w:p>
    <w:p w14:paraId="258EC734"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hint="eastAsia"/>
          <w:sz w:val="21"/>
          <w:szCs w:val="21"/>
        </w:rPr>
        <w:t>十二</w:t>
      </w:r>
      <w:r>
        <w:rPr>
          <w:rFonts w:ascii="宋体" w:eastAsia="宋体" w:hAnsi="宋体"/>
          <w:sz w:val="21"/>
          <w:szCs w:val="21"/>
        </w:rPr>
        <w:t>、中标供应商的考核</w:t>
      </w:r>
    </w:p>
    <w:p w14:paraId="717CD74D"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（一）中标供应商工作考核制度，以中标供应商工作职责为依据，结合实际工作开展进行奖惩。采购人每年对中标供应商工作情况进行一次全面的考核，同时开展抽查考核，奖优惩劣。</w:t>
      </w:r>
    </w:p>
    <w:p w14:paraId="5D5C94C4"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1、中标供应商工作期间有以下情况之一，给予表扬或奖励：</w:t>
      </w:r>
    </w:p>
    <w:p w14:paraId="43C3FD58"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（1）模范履行工作职责，管护期间无森林火警、无盗砍盗伐、无侵占林地等案件发生，林木管护工作取得显著成绩的。</w:t>
      </w:r>
    </w:p>
    <w:p w14:paraId="50DAE026"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（2）制止破坏集体林木资源行为，集体林木资源免遭重大损失的，并全面完成考核指标的。</w:t>
      </w:r>
    </w:p>
    <w:p w14:paraId="77D60112"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（3）严格执行森林防火法规，预防和扑救措施得力，在森林防火责任区内，保持无森林火灾出现的。</w:t>
      </w:r>
    </w:p>
    <w:p w14:paraId="67F405A0"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（4）依法制止或者检举非法侵占林地和破坏林地、乱占滥用林地直接责任人有功的。</w:t>
      </w:r>
    </w:p>
    <w:p w14:paraId="1788AF28"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lastRenderedPageBreak/>
        <w:t>（5）为保护国家和集体森林资源与犯罪分子英勇搏斗的。</w:t>
      </w:r>
    </w:p>
    <w:p w14:paraId="71B457D0"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2、中标供应商工作期间有以下情况之一的，应按情节轻重给予处罚：</w:t>
      </w:r>
    </w:p>
    <w:p w14:paraId="2E99AEF0"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（1）因玩忽职守，不履行管理职责，造成本责任区森林资源损失的。</w:t>
      </w:r>
    </w:p>
    <w:p w14:paraId="58D90813"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（2）在本责任区内有森林火灾隐患，不知情、不报告，对森林火灾隐患知情而不采取措施消除，导致森林火灾发生的。</w:t>
      </w:r>
    </w:p>
    <w:p w14:paraId="1917A768"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（3）擅自同意违法用地单位和个人进入林地施工，或者不知情、不制止、不报告，造成林地破坏的。</w:t>
      </w:r>
    </w:p>
    <w:p w14:paraId="3B7E06D7"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（4）对盗伐和滥伐森林行为不知情、不制止、不报告，致使森林资源遭受损失的。</w:t>
      </w:r>
    </w:p>
    <w:p w14:paraId="6CD93993"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（5）以权谋私，监守自盗、弄虚作假，致使森林资源遭受损失的。</w:t>
      </w:r>
    </w:p>
    <w:p w14:paraId="6482A394"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（6）未按规定完成上级安排工作的，以及管护工作不积极，工作作风懒散，群众反映强烈的。</w:t>
      </w:r>
    </w:p>
    <w:p w14:paraId="02CA434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（7）无故不参加例会的。</w:t>
      </w:r>
    </w:p>
    <w:p w14:paraId="2482C9F7"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十</w:t>
      </w:r>
      <w:r>
        <w:rPr>
          <w:rFonts w:ascii="宋体" w:eastAsia="宋体" w:hAnsi="宋体" w:hint="eastAsia"/>
          <w:sz w:val="21"/>
          <w:szCs w:val="21"/>
        </w:rPr>
        <w:t>三</w:t>
      </w:r>
      <w:r>
        <w:rPr>
          <w:rFonts w:ascii="宋体" w:eastAsia="宋体" w:hAnsi="宋体"/>
          <w:sz w:val="21"/>
          <w:szCs w:val="21"/>
        </w:rPr>
        <w:t>、项目管理</w:t>
      </w:r>
    </w:p>
    <w:p w14:paraId="488AC8CC"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（一）施工现场管理</w:t>
      </w:r>
    </w:p>
    <w:p w14:paraId="0F461035"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做好造林工程施工现场管理是造林工程质量管理与控制的关键。对造林工程施工项目质量控制就是为了确保合同、规范所规定的质量标准，通过一系列的检测手段和方法及监控措施，在进行造林工程施工中得到落实，为了确保工程质量，重点要做好造林工程现场管理。</w:t>
      </w:r>
    </w:p>
    <w:p w14:paraId="0DE8696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1、保证造林职工的工作质量，确保工程质量</w:t>
      </w:r>
    </w:p>
    <w:p w14:paraId="2820EF23"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造林工程质量是由造林工人所创造的，他们的政治思想素质、责任感、事业心、质量观、业务能力、技术水平等均直接影响工程质量。项目经理部要“以人为本”，充分调动造林工人的积极性，发挥他们的主导作用，增强质量观和责任感，认真负责地搞好本职工作，以优秀的工作质量来创造优质的造林工程质量。</w:t>
      </w:r>
    </w:p>
    <w:p w14:paraId="1282CD36"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2、严格控制造林材料的质量</w:t>
      </w:r>
    </w:p>
    <w:p w14:paraId="3F074CA3"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严格控制投入材料的质量是确保工程质量的前提。对投入材料的订货、采购、检查、验收、取样、试验均应进行全面控制，从组织货物来源到使用认证，要做到层层把关，对施工过程中所采用的施工方案要进行充分论证，做到施工方法先进，技术合理，安全文明施工，有利于提高工程质量。</w:t>
      </w:r>
    </w:p>
    <w:p w14:paraId="1613CFA6"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3、全面控制造林工程施工过程，重点控制工序质量</w:t>
      </w:r>
    </w:p>
    <w:p w14:paraId="1111E342"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综合性造林工程项目是由若干个分项、分部工程组成，要确保整个工程项目的质量达到整体优化的目的，就必须全面控制施工过程，使每一个分项、分部工程都符合质量标准，每一个分项、分部工程又都是通过一道道工序来完成，工程质量是在工序中创造的，要确保工程质量就必须重点控制工序质量。对第一道工序质量都必须严格检查，当上一道工序质量不符合要求时，决不允许进入下一道工序施工，只要每一道工序质量都符合要求，整个工程质量就能得到保证。</w:t>
      </w:r>
    </w:p>
    <w:p w14:paraId="7648072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4、严把造林分项工程质量检验评定关</w:t>
      </w:r>
    </w:p>
    <w:p w14:paraId="4448765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造林工程分项工程质量等级是分部工程、单位工程质量等级评定的基础，分项工程质量等级不符合标准，分项工程、单位工程的质量也不可能评为合格，而分项工程质量等级评定的正确与否，</w:t>
      </w:r>
      <w:r>
        <w:rPr>
          <w:rFonts w:ascii="宋体" w:eastAsia="宋体" w:hAnsi="宋体"/>
          <w:szCs w:val="21"/>
        </w:rPr>
        <w:lastRenderedPageBreak/>
        <w:t>又直接影响分部工程和单位工程质量等级评定的真实性和可靠性。为此，在进行分项工程质量评定时，一定要坚持标准，严格检查，避免出现判断错误，每一分项工程检查验收时不可降低标准。</w:t>
      </w:r>
    </w:p>
    <w:p w14:paraId="2AF16AA2"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5、贯彻“以预防为主”的方针</w:t>
      </w:r>
    </w:p>
    <w:p w14:paraId="0A94A012"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造林工程质量要以预防为主，防患于未然，把质量问题消灭于萌芽之中，预防为主就是加强对影响质量因素的控制，对投入品质量的控制，做好质量的事前、事中控制，从对产品质量的检查转向对工作质量的检查，对工序的检查，对中间产品的质量检查。</w:t>
      </w:r>
    </w:p>
    <w:p w14:paraId="02CD968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6、严防系统性因素的质量变异</w:t>
      </w:r>
    </w:p>
    <w:p w14:paraId="24137CAD"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系统性因素如使用不合格的材料，违反操作程序、操作规程，土方质量、苗木质量规格达不到设计要求，均会造成工程质量不合格或工程质量事故。只要增强质量观念，提高工作质量，精心施工，完全可以预防系统性因素引起的质量变异，以免造成工程质量不合格或工程质量事故。</w:t>
      </w:r>
    </w:p>
    <w:p w14:paraId="1AA2B9F7"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7、环保操作，安全施工</w:t>
      </w:r>
    </w:p>
    <w:p w14:paraId="6FC4FD4A"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（1）防止水土流失。在挖穴整地时必须严格按要求把挖出的穴土堆于穴的两侧或上方，禁止贪方便把穴土</w:t>
      </w:r>
      <w:proofErr w:type="gramStart"/>
      <w:r>
        <w:rPr>
          <w:rFonts w:ascii="宋体" w:eastAsia="宋体" w:hAnsi="宋体"/>
          <w:szCs w:val="21"/>
        </w:rPr>
        <w:t>耙向穴</w:t>
      </w:r>
      <w:proofErr w:type="gramEnd"/>
      <w:r>
        <w:rPr>
          <w:rFonts w:ascii="宋体" w:eastAsia="宋体" w:hAnsi="宋体"/>
          <w:szCs w:val="21"/>
        </w:rPr>
        <w:t>的下坡方向或乱丢乱放，以防止造成水土流失，破坏环境。</w:t>
      </w:r>
    </w:p>
    <w:p w14:paraId="7335E170"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（2）防止肥料污染水源。基肥要均匀地放于植穴内，并与底土混匀，追肥定要开小穴埋施，以防止肥料溶入雨水流向山下污染水源。特别是施有机肥时，要确保施进穴中，不能到处乱放。</w:t>
      </w:r>
    </w:p>
    <w:p w14:paraId="751672B5"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3）施工安全教育。造林工程属野外山上作业，环境条件复杂多样，工程队施工前必须对员工进行安全生产教育，避免工作事故发生，施工前应根据当前气候条件对周边环境进行仔细观察，确认无雷电暴雨、山体塌方、山洪暴发等高危风险情形后方可施工，并做好个人保护措施，避免受到毒蛇、毒虫咬伤。特别要注意火种使用，防止发生森林火灾。另外，施工人员上下班方式应遵守有关交通安全法规，严禁货车尾厢载人。</w:t>
      </w:r>
    </w:p>
    <w:p w14:paraId="793B6EA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（二）后期养护管理</w:t>
      </w:r>
    </w:p>
    <w:p w14:paraId="7811FCD2"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加强造林工程后期养护管理是造林工程质量管理与控制的保证。</w:t>
      </w:r>
      <w:proofErr w:type="gramStart"/>
      <w:r>
        <w:rPr>
          <w:rFonts w:ascii="宋体" w:eastAsia="宋体" w:hAnsi="宋体"/>
          <w:szCs w:val="21"/>
        </w:rPr>
        <w:t>绿美增城</w:t>
      </w:r>
      <w:proofErr w:type="gramEnd"/>
      <w:r>
        <w:rPr>
          <w:rFonts w:ascii="宋体" w:eastAsia="宋体" w:hAnsi="宋体"/>
          <w:szCs w:val="21"/>
        </w:rPr>
        <w:t>森林质量提升工程作为一项公益工程，机动性大，施工时间长，为保证建设质量，应实行工程承包责任制，对施工单位实行三包（即包造林、包抚育、包生长指标），一包三年。并制定出工程质量奖惩办法，杜绝偷工减料、粗制滥造事情的发生，确保工程建设质量。</w:t>
      </w:r>
    </w:p>
    <w:p w14:paraId="651D0EF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（三）档案管理</w:t>
      </w:r>
    </w:p>
    <w:p w14:paraId="26D4956B"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1、每次分项工序检验必须有验收记录，</w:t>
      </w:r>
      <w:proofErr w:type="gramStart"/>
      <w:r>
        <w:rPr>
          <w:rFonts w:ascii="宋体" w:eastAsia="宋体" w:hAnsi="宋体"/>
          <w:szCs w:val="21"/>
        </w:rPr>
        <w:t>附施工</w:t>
      </w:r>
      <w:proofErr w:type="gramEnd"/>
      <w:r>
        <w:rPr>
          <w:rFonts w:ascii="宋体" w:eastAsia="宋体" w:hAnsi="宋体"/>
          <w:szCs w:val="21"/>
        </w:rPr>
        <w:t>过程及验收时现场照片；</w:t>
      </w:r>
    </w:p>
    <w:p w14:paraId="4474E25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2、苗木及肥料进场有报验，</w:t>
      </w:r>
      <w:proofErr w:type="gramStart"/>
      <w:r>
        <w:rPr>
          <w:rFonts w:ascii="宋体" w:eastAsia="宋体" w:hAnsi="宋体"/>
          <w:szCs w:val="21"/>
        </w:rPr>
        <w:t>附施工</w:t>
      </w:r>
      <w:proofErr w:type="gramEnd"/>
      <w:r>
        <w:rPr>
          <w:rFonts w:ascii="宋体" w:eastAsia="宋体" w:hAnsi="宋体"/>
          <w:szCs w:val="21"/>
        </w:rPr>
        <w:t>过程及验收时现场相片，出示植物检疫证；</w:t>
      </w:r>
    </w:p>
    <w:p w14:paraId="531D0857"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3、苗木种植完成后有初验报告，</w:t>
      </w:r>
      <w:proofErr w:type="gramStart"/>
      <w:r>
        <w:rPr>
          <w:rFonts w:ascii="宋体" w:eastAsia="宋体" w:hAnsi="宋体"/>
          <w:szCs w:val="21"/>
        </w:rPr>
        <w:t>附施工</w:t>
      </w:r>
      <w:proofErr w:type="gramEnd"/>
      <w:r>
        <w:rPr>
          <w:rFonts w:ascii="宋体" w:eastAsia="宋体" w:hAnsi="宋体"/>
          <w:szCs w:val="21"/>
        </w:rPr>
        <w:t>过程及验收时现场相片；</w:t>
      </w:r>
    </w:p>
    <w:p w14:paraId="1BD5C36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4、每次抚育须有验收报告，监理单位签发的抚育报验表，</w:t>
      </w:r>
      <w:proofErr w:type="gramStart"/>
      <w:r>
        <w:rPr>
          <w:rFonts w:ascii="宋体" w:eastAsia="宋体" w:hAnsi="宋体"/>
          <w:szCs w:val="21"/>
        </w:rPr>
        <w:t>附施工</w:t>
      </w:r>
      <w:proofErr w:type="gramEnd"/>
      <w:r>
        <w:rPr>
          <w:rFonts w:ascii="宋体" w:eastAsia="宋体" w:hAnsi="宋体"/>
          <w:szCs w:val="21"/>
        </w:rPr>
        <w:t>过程及验收时现场相片；</w:t>
      </w:r>
    </w:p>
    <w:p w14:paraId="72B713EC"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5、工程总验收报告。结算资料一式三份，一份交采购人，一份评审中心，一份中标供应商存档；</w:t>
      </w:r>
    </w:p>
    <w:p w14:paraId="74843114"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6、工程竣工结束后，以上档案一式五份装订成册，三份交采购人，一份交施工监理单位，一份中标供应商自己存档。</w:t>
      </w:r>
    </w:p>
    <w:p w14:paraId="0E5BBF49"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lastRenderedPageBreak/>
        <w:t>十</w:t>
      </w:r>
      <w:r>
        <w:rPr>
          <w:rFonts w:ascii="宋体" w:eastAsia="宋体" w:hAnsi="宋体" w:hint="eastAsia"/>
          <w:sz w:val="21"/>
          <w:szCs w:val="21"/>
        </w:rPr>
        <w:t>四</w:t>
      </w:r>
      <w:r>
        <w:rPr>
          <w:rFonts w:ascii="宋体" w:eastAsia="宋体" w:hAnsi="宋体"/>
          <w:sz w:val="21"/>
          <w:szCs w:val="21"/>
        </w:rPr>
        <w:t>、报价要求</w:t>
      </w:r>
    </w:p>
    <w:p w14:paraId="70C60019"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（一）本项目的最高限价为18,602,971.73元，本项目</w:t>
      </w:r>
      <w:proofErr w:type="gramStart"/>
      <w:r>
        <w:rPr>
          <w:rFonts w:ascii="宋体" w:eastAsia="宋体" w:hAnsi="宋体"/>
          <w:szCs w:val="21"/>
        </w:rPr>
        <w:t>不</w:t>
      </w:r>
      <w:proofErr w:type="gramEnd"/>
      <w:r>
        <w:rPr>
          <w:rFonts w:ascii="宋体" w:eastAsia="宋体" w:hAnsi="宋体"/>
          <w:szCs w:val="21"/>
        </w:rPr>
        <w:t>设定最低限价，但评标委员会认为投标人的报价明显低于其他通过符合性审查投标人的报价，有可能影响产品质量或者不能诚信履约的，将要求其在评标现场在评委规定的时间内提供书面说明，需提供有效分析说明（如成本分析表、计算依据、同类项目（指单个合同中标金额不少于本项目最高限价、项目内容等同于或多于本项目用户需求书所列全部内容、均由投标人独立完成的项目）销售发票、合同详细报价、合同支付款明细、每个子项验收合格证明材料复印件并加盖单位公章）。</w:t>
      </w:r>
    </w:p>
    <w:p w14:paraId="76FEC234"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（二）本工程以综合单价及绿色施工安全防护措施费包干形式，由中标供应商包工、包料、包工期、包质量、包安全文明施工、</w:t>
      </w:r>
      <w:proofErr w:type="gramStart"/>
      <w:r>
        <w:rPr>
          <w:rFonts w:ascii="宋体" w:eastAsia="宋体" w:hAnsi="宋体"/>
          <w:szCs w:val="21"/>
        </w:rPr>
        <w:t>包承包</w:t>
      </w:r>
      <w:proofErr w:type="gramEnd"/>
      <w:r>
        <w:rPr>
          <w:rFonts w:ascii="宋体" w:eastAsia="宋体" w:hAnsi="宋体"/>
          <w:szCs w:val="21"/>
        </w:rPr>
        <w:t>范围内验收，中标供应商的投标综合单价及措施项目费不因施工期间人工、机械及材料价格变化、施工条件的变化和政府造价管理部门等调整各项收费而调整，招标文件另有约定的除外。</w:t>
      </w:r>
    </w:p>
    <w:p w14:paraId="266D404D"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结算时采购人依据国家、省、市现行计价办法，以及监理单位、采购人审核的实际工程量乘以投标综合单价，再加上措施项目费、其他项目费、</w:t>
      </w:r>
      <w:proofErr w:type="gramStart"/>
      <w:r>
        <w:rPr>
          <w:rFonts w:ascii="宋体" w:eastAsia="宋体" w:hAnsi="宋体"/>
          <w:szCs w:val="21"/>
        </w:rPr>
        <w:t>规</w:t>
      </w:r>
      <w:proofErr w:type="gramEnd"/>
      <w:r>
        <w:rPr>
          <w:rFonts w:ascii="宋体" w:eastAsia="宋体" w:hAnsi="宋体"/>
          <w:szCs w:val="21"/>
        </w:rPr>
        <w:t>费、税金计算结算造价，最终以财政结算评审价为准。</w:t>
      </w:r>
    </w:p>
    <w:p w14:paraId="484883BE"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（三）投标人需按照工程量清单报出综合单价和投标总报价，投标人的综合单价不得超出工程量清单的综合单价，投标总报价不得超出最高限价。</w:t>
      </w:r>
    </w:p>
    <w:p w14:paraId="20F2EB97" w14:textId="77777777"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十</w:t>
      </w:r>
      <w:r>
        <w:rPr>
          <w:rFonts w:ascii="宋体" w:eastAsia="宋体" w:hAnsi="宋体" w:hint="eastAsia"/>
          <w:sz w:val="21"/>
          <w:szCs w:val="21"/>
        </w:rPr>
        <w:t>五</w:t>
      </w:r>
      <w:r>
        <w:rPr>
          <w:rFonts w:ascii="宋体" w:eastAsia="宋体" w:hAnsi="宋体"/>
          <w:sz w:val="21"/>
          <w:szCs w:val="21"/>
        </w:rPr>
        <w:t>、其他要求</w:t>
      </w:r>
    </w:p>
    <w:p w14:paraId="2244B1FC"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一）中标供应商应在整个中标服务期内，对其为本工程工作的雇员投保工人工伤事故险和人身意外伤害险。采购人对中标供应商雇员的人身死亡或伤残，或财产（设备）的损失或损害不予赔偿。采购人也不对中标供应商与此有关的损害、赔偿及诉讼等费用和其他开支承担任何责任。</w:t>
      </w:r>
    </w:p>
    <w:p w14:paraId="406CD7E1"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（二）中标供应商应按照《中华人民共和国劳动法》的相关规定发放工资，服务人员工资不得低于广州市企业职工最低工资标准（工资不含按国家规定投标人必须支付的社会保险及其他应付费用）。</w:t>
      </w:r>
    </w:p>
    <w:p w14:paraId="2AA2A995"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（三）非经采购人同意，中标供应商不得将承包工程的全部或任何部分分包或转包给他人。</w:t>
      </w:r>
    </w:p>
    <w:p w14:paraId="3D50809C" w14:textId="77777777" w:rsidR="006304C3" w:rsidRDefault="006304C3" w:rsidP="006304C3">
      <w:pPr>
        <w:spacing w:line="360" w:lineRule="auto"/>
        <w:ind w:firstLine="420"/>
        <w:rPr>
          <w:rFonts w:ascii="宋体" w:eastAsia="宋体" w:hAnsi="宋体"/>
          <w:szCs w:val="21"/>
        </w:rPr>
      </w:pPr>
      <w:r>
        <w:rPr>
          <w:rFonts w:ascii="宋体" w:eastAsia="宋体" w:hAnsi="宋体"/>
          <w:szCs w:val="21"/>
        </w:rPr>
        <w:t>（四）投标人报价应充分考虑施工场地障碍条件和现场各种不利条件发生的可能性所带来的风险，应仔细阅读和理解采购文件中有关项目概况、服务质量要求标准、工程内容及其他要求、其他有关说明、合同义务和费用条款等，并充分考察施工现场情况和条件（包括地下情况、交通条件、水电条件、场地条件等），结合投标人自身条件进行报价。</w:t>
      </w:r>
    </w:p>
    <w:p w14:paraId="5462C573" w14:textId="77777777" w:rsidR="006304C3" w:rsidRDefault="006304C3" w:rsidP="006304C3"/>
    <w:p w14:paraId="6C3DB261" w14:textId="77777777" w:rsidR="006304C3" w:rsidRDefault="006304C3" w:rsidP="006304C3">
      <w:pPr>
        <w:ind w:firstLine="480"/>
      </w:pPr>
    </w:p>
    <w:p w14:paraId="15F118C5" w14:textId="77777777" w:rsidR="006304C3" w:rsidRDefault="006304C3" w:rsidP="006304C3"/>
    <w:p w14:paraId="5F96FC64" w14:textId="2109DFCE" w:rsidR="006304C3" w:rsidRDefault="006304C3" w:rsidP="006304C3">
      <w:pPr>
        <w:pStyle w:val="2"/>
        <w:spacing w:before="0" w:after="0" w:line="360" w:lineRule="auto"/>
        <w:rPr>
          <w:rFonts w:ascii="宋体" w:eastAsia="宋体" w:hAnsi="宋体"/>
          <w:sz w:val="21"/>
          <w:szCs w:val="21"/>
        </w:rPr>
      </w:pPr>
      <w:r>
        <w:rPr>
          <w:rFonts w:ascii="宋体" w:eastAsia="宋体" w:hAnsi="宋体"/>
          <w:sz w:val="21"/>
          <w:szCs w:val="21"/>
        </w:rPr>
        <w:t>主要商务要求</w:t>
      </w: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242"/>
        <w:gridCol w:w="7064"/>
      </w:tblGrid>
      <w:tr w:rsidR="006304C3" w14:paraId="4FA95D4B" w14:textId="77777777" w:rsidTr="003E2D5A">
        <w:tc>
          <w:tcPr>
            <w:tcW w:w="1242" w:type="dxa"/>
          </w:tcPr>
          <w:p w14:paraId="3E5D6683" w14:textId="77777777" w:rsidR="006304C3" w:rsidRDefault="006304C3" w:rsidP="003E2D5A">
            <w:r>
              <w:t>标的提供的时间</w:t>
            </w:r>
          </w:p>
        </w:tc>
        <w:tc>
          <w:tcPr>
            <w:tcW w:w="7064" w:type="dxa"/>
          </w:tcPr>
          <w:p w14:paraId="203295CB" w14:textId="77777777" w:rsidR="006304C3" w:rsidRDefault="006304C3" w:rsidP="003E2D5A">
            <w:r>
              <w:rPr>
                <w:rFonts w:hint="eastAsia"/>
              </w:rPr>
              <w:t>种植期：</w:t>
            </w:r>
            <w:r>
              <w:rPr>
                <w:rFonts w:hint="eastAsia"/>
              </w:rPr>
              <w:t>2024</w:t>
            </w:r>
            <w:r>
              <w:rPr>
                <w:rFonts w:hint="eastAsia"/>
              </w:rPr>
              <w:t>年</w:t>
            </w:r>
            <w:r>
              <w:rPr>
                <w:rFonts w:hint="eastAsia"/>
              </w:rPr>
              <w:t>5</w:t>
            </w:r>
            <w:r>
              <w:rPr>
                <w:rFonts w:hint="eastAsia"/>
              </w:rPr>
              <w:t>月</w:t>
            </w:r>
            <w:r>
              <w:rPr>
                <w:rFonts w:hint="eastAsia"/>
              </w:rPr>
              <w:t>-2023</w:t>
            </w:r>
            <w:r>
              <w:rPr>
                <w:rFonts w:hint="eastAsia"/>
              </w:rPr>
              <w:t>年</w:t>
            </w:r>
            <w:r>
              <w:rPr>
                <w:rFonts w:hint="eastAsia"/>
              </w:rPr>
              <w:t>7</w:t>
            </w:r>
            <w:r>
              <w:rPr>
                <w:rFonts w:hint="eastAsia"/>
              </w:rPr>
              <w:t>月，共</w:t>
            </w:r>
            <w:r>
              <w:rPr>
                <w:rFonts w:hint="eastAsia"/>
              </w:rPr>
              <w:t>3</w:t>
            </w:r>
            <w:r>
              <w:rPr>
                <w:rFonts w:hint="eastAsia"/>
              </w:rPr>
              <w:t>个月；</w:t>
            </w:r>
            <w:r>
              <w:rPr>
                <w:rFonts w:hint="eastAsia"/>
              </w:rPr>
              <w:t>2024</w:t>
            </w:r>
            <w:r>
              <w:rPr>
                <w:rFonts w:hint="eastAsia"/>
              </w:rPr>
              <w:t>年</w:t>
            </w:r>
            <w:r>
              <w:rPr>
                <w:rFonts w:hint="eastAsia"/>
              </w:rPr>
              <w:t>7</w:t>
            </w:r>
            <w:r>
              <w:rPr>
                <w:rFonts w:hint="eastAsia"/>
              </w:rPr>
              <w:t>月底须全面完成（具体时间以签订的合同为准）。</w:t>
            </w:r>
          </w:p>
        </w:tc>
      </w:tr>
      <w:tr w:rsidR="006304C3" w14:paraId="394C9363" w14:textId="77777777" w:rsidTr="003E2D5A">
        <w:tc>
          <w:tcPr>
            <w:tcW w:w="1242" w:type="dxa"/>
          </w:tcPr>
          <w:p w14:paraId="2F6CEA34" w14:textId="77777777" w:rsidR="006304C3" w:rsidRDefault="006304C3" w:rsidP="003E2D5A">
            <w:r>
              <w:t>标的提供的地点</w:t>
            </w:r>
          </w:p>
        </w:tc>
        <w:tc>
          <w:tcPr>
            <w:tcW w:w="7064" w:type="dxa"/>
            <w:vAlign w:val="center"/>
          </w:tcPr>
          <w:p w14:paraId="00618C36" w14:textId="77777777" w:rsidR="006304C3" w:rsidRDefault="006304C3" w:rsidP="003E2D5A">
            <w:r>
              <w:t>采购人指定地点。</w:t>
            </w:r>
          </w:p>
        </w:tc>
      </w:tr>
      <w:tr w:rsidR="006304C3" w14:paraId="7685B0C2" w14:textId="77777777" w:rsidTr="003E2D5A">
        <w:tc>
          <w:tcPr>
            <w:tcW w:w="1242" w:type="dxa"/>
          </w:tcPr>
          <w:p w14:paraId="49BF1768" w14:textId="77777777" w:rsidR="006304C3" w:rsidRDefault="006304C3" w:rsidP="003E2D5A">
            <w:r>
              <w:lastRenderedPageBreak/>
              <w:t>付款方式</w:t>
            </w:r>
          </w:p>
        </w:tc>
        <w:tc>
          <w:tcPr>
            <w:tcW w:w="7064" w:type="dxa"/>
          </w:tcPr>
          <w:p w14:paraId="42F1BBDC" w14:textId="77777777" w:rsidR="006304C3" w:rsidRDefault="006304C3" w:rsidP="003E2D5A">
            <w:r>
              <w:t>1</w:t>
            </w:r>
            <w:r>
              <w:t>期：支付比例</w:t>
            </w:r>
            <w:r>
              <w:t>30%,</w:t>
            </w:r>
            <w:r>
              <w:t>在财政资金到位及请款资料齐备的前提下，采购人根据监理单位核定的项目量分期进行支付项目进度款：</w:t>
            </w:r>
            <w:r>
              <w:t>1.</w:t>
            </w:r>
            <w:r>
              <w:t>签订</w:t>
            </w:r>
            <w:proofErr w:type="gramStart"/>
            <w:r>
              <w:t>本施工</w:t>
            </w:r>
            <w:proofErr w:type="gramEnd"/>
            <w:r>
              <w:t>合同并进场施工</w:t>
            </w:r>
            <w:r>
              <w:t>5</w:t>
            </w:r>
            <w:r>
              <w:t>个工作日内，采购人支付合同价的</w:t>
            </w:r>
            <w:r>
              <w:t>30%</w:t>
            </w:r>
            <w:r>
              <w:t>作为工程预付款。</w:t>
            </w:r>
          </w:p>
          <w:p w14:paraId="4EC0C0E9" w14:textId="77777777" w:rsidR="006304C3" w:rsidRDefault="006304C3" w:rsidP="003E2D5A">
            <w:r>
              <w:t>2</w:t>
            </w:r>
            <w:r>
              <w:t>期：支付比例</w:t>
            </w:r>
            <w:r>
              <w:t>50%,2.</w:t>
            </w:r>
            <w:r>
              <w:t>工程进度</w:t>
            </w:r>
            <w:proofErr w:type="gramStart"/>
            <w:r>
              <w:t>款根据</w:t>
            </w:r>
            <w:proofErr w:type="gramEnd"/>
            <w:r>
              <w:t>工程监理核定的工程量和工程进度，按完成工程量造价的</w:t>
            </w:r>
            <w:r>
              <w:t>80%</w:t>
            </w:r>
            <w:r>
              <w:t>进行支付；工程竣工验收后，最多支付至核定工程量的</w:t>
            </w:r>
            <w:r>
              <w:t>80%</w:t>
            </w:r>
            <w:r>
              <w:t>。</w:t>
            </w:r>
          </w:p>
          <w:p w14:paraId="53B58A41" w14:textId="77777777" w:rsidR="006304C3" w:rsidRDefault="006304C3" w:rsidP="003E2D5A">
            <w:r>
              <w:t>3</w:t>
            </w:r>
            <w:r>
              <w:t>期：支付比例</w:t>
            </w:r>
            <w:r>
              <w:t>20%,3.</w:t>
            </w:r>
            <w:r>
              <w:t>在抚育管护期满后并通过总验收合格后，中标供应商必须在</w:t>
            </w:r>
            <w:r>
              <w:t>1</w:t>
            </w:r>
            <w:r>
              <w:t>个月内提交整套符合要求的工程结算资料，经采购人审核后送有关部门进行结算评审，否则，由此造成的一切经济损失由中标供应商负责。结算评审完成后，按结算总价付清余款。</w:t>
            </w:r>
            <w:r>
              <w:t xml:space="preserve"> </w:t>
            </w:r>
            <w:r>
              <w:t>（三）中标供应</w:t>
            </w:r>
            <w:proofErr w:type="gramStart"/>
            <w:r>
              <w:t>商凭以下</w:t>
            </w:r>
            <w:proofErr w:type="gramEnd"/>
            <w:r>
              <w:t>有效文件与采购人结算：</w:t>
            </w:r>
            <w:r>
              <w:t xml:space="preserve"> 1</w:t>
            </w:r>
            <w:r>
              <w:t>、合同；</w:t>
            </w:r>
            <w:r>
              <w:t xml:space="preserve"> 2</w:t>
            </w:r>
            <w:r>
              <w:t>、中标供应商开具的正式发票；</w:t>
            </w:r>
            <w:r>
              <w:t xml:space="preserve"> 3</w:t>
            </w:r>
            <w:r>
              <w:t>、请款函、</w:t>
            </w:r>
            <w:proofErr w:type="gramStart"/>
            <w:r>
              <w:t>施工台</w:t>
            </w:r>
            <w:proofErr w:type="gramEnd"/>
            <w:r>
              <w:t>账资料；</w:t>
            </w:r>
            <w:r>
              <w:t xml:space="preserve"> 4</w:t>
            </w:r>
            <w:r>
              <w:t>、项目验收表（加盖各方公章）；</w:t>
            </w:r>
            <w:r>
              <w:t xml:space="preserve"> 5</w:t>
            </w:r>
            <w:r>
              <w:t>、中标通知书。</w:t>
            </w:r>
            <w:r>
              <w:t xml:space="preserve"> </w:t>
            </w:r>
            <w:r>
              <w:t>注：因采购人使用的是财政资金，采购人在前款规定的付款时间为：采购人向政府采购支付部门提出办理财政支付申请手续的时间（不含政府财政支付部门审核的时间）。采购人在规定时间内提出支付申请手续后即视为采购人已经按期支付。</w:t>
            </w:r>
          </w:p>
        </w:tc>
      </w:tr>
      <w:tr w:rsidR="006304C3" w14:paraId="09DDAFC9" w14:textId="77777777" w:rsidTr="003E2D5A">
        <w:tc>
          <w:tcPr>
            <w:tcW w:w="1242" w:type="dxa"/>
          </w:tcPr>
          <w:p w14:paraId="01DAF7D2" w14:textId="77777777" w:rsidR="006304C3" w:rsidRDefault="006304C3" w:rsidP="003E2D5A">
            <w:r>
              <w:t>验收要求</w:t>
            </w:r>
          </w:p>
        </w:tc>
        <w:tc>
          <w:tcPr>
            <w:tcW w:w="7064" w:type="dxa"/>
          </w:tcPr>
          <w:p w14:paraId="4861D1C9" w14:textId="77777777" w:rsidR="006304C3" w:rsidRDefault="006304C3" w:rsidP="003E2D5A">
            <w:r>
              <w:rPr>
                <w:rFonts w:hint="eastAsia"/>
              </w:rPr>
              <w:t>1</w:t>
            </w:r>
            <w:r>
              <w:rPr>
                <w:rFonts w:hint="eastAsia"/>
              </w:rPr>
              <w:t>期：项目完成后及时组织验收，对未达到验收标准的，按要求进行整改，达标后再次验收，直至合格。</w:t>
            </w:r>
          </w:p>
          <w:p w14:paraId="6BB9E316" w14:textId="77777777" w:rsidR="006304C3" w:rsidRDefault="006304C3" w:rsidP="003E2D5A">
            <w:r>
              <w:rPr>
                <w:rFonts w:hint="eastAsia"/>
              </w:rPr>
              <w:t>施工单位完成林地清理、整地挖穴、回土施肥、栽植、抚育、修枝等每道施工工序后要全面进行自查，自查合格后以书面形式报建设单位申请检查验收，建设单位检查验收合格后报监理单位验收。肥料及苗木进场要向建设单位报审，监理单位检查验收合格后报建设单位。</w:t>
            </w:r>
          </w:p>
          <w:p w14:paraId="5549B661" w14:textId="77777777" w:rsidR="006304C3" w:rsidRDefault="006304C3" w:rsidP="003E2D5A">
            <w:r>
              <w:rPr>
                <w:rFonts w:hint="eastAsia"/>
              </w:rPr>
              <w:t>（</w:t>
            </w:r>
            <w:r>
              <w:rPr>
                <w:rFonts w:hint="eastAsia"/>
              </w:rPr>
              <w:t>1)</w:t>
            </w:r>
            <w:r>
              <w:rPr>
                <w:rFonts w:hint="eastAsia"/>
              </w:rPr>
              <w:t>林地清理标准</w:t>
            </w:r>
          </w:p>
          <w:p w14:paraId="07E69CF4" w14:textId="77777777" w:rsidR="006304C3" w:rsidRDefault="006304C3" w:rsidP="003E2D5A">
            <w:r>
              <w:rPr>
                <w:rFonts w:hint="eastAsia"/>
              </w:rPr>
              <w:t>林地清理中带状清理后地被要求覆盖度不高于</w:t>
            </w:r>
            <w:r>
              <w:rPr>
                <w:rFonts w:hint="eastAsia"/>
              </w:rPr>
              <w:t xml:space="preserve"> 10%</w:t>
            </w:r>
            <w:r>
              <w:rPr>
                <w:rFonts w:hint="eastAsia"/>
              </w:rPr>
              <w:t>。</w:t>
            </w:r>
          </w:p>
          <w:p w14:paraId="351FFDD4" w14:textId="77777777" w:rsidR="006304C3" w:rsidRDefault="006304C3" w:rsidP="003E2D5A">
            <w:r>
              <w:rPr>
                <w:rFonts w:hint="eastAsia"/>
              </w:rPr>
              <w:t>（</w:t>
            </w:r>
            <w:r>
              <w:rPr>
                <w:rFonts w:hint="eastAsia"/>
              </w:rPr>
              <w:t>2</w:t>
            </w:r>
            <w:r>
              <w:rPr>
                <w:rFonts w:hint="eastAsia"/>
              </w:rPr>
              <w:t>）修枝标准</w:t>
            </w:r>
          </w:p>
          <w:p w14:paraId="275988E8" w14:textId="77777777" w:rsidR="006304C3" w:rsidRDefault="006304C3" w:rsidP="003E2D5A">
            <w:r>
              <w:rPr>
                <w:rFonts w:hint="eastAsia"/>
              </w:rPr>
              <w:t>采取修枝抚育后的林分应达到以下要求：</w:t>
            </w:r>
          </w:p>
          <w:p w14:paraId="30E5EC6C" w14:textId="77777777" w:rsidR="006304C3" w:rsidRDefault="006304C3" w:rsidP="003E2D5A">
            <w:r>
              <w:rPr>
                <w:rFonts w:hint="eastAsia"/>
              </w:rPr>
              <w:t>①修去枯死枝和树冠下部</w:t>
            </w:r>
            <w:r>
              <w:rPr>
                <w:rFonts w:hint="eastAsia"/>
              </w:rPr>
              <w:t xml:space="preserve"> 1 </w:t>
            </w:r>
            <w:r>
              <w:rPr>
                <w:rFonts w:hint="eastAsia"/>
              </w:rPr>
              <w:t>轮</w:t>
            </w:r>
            <w:r>
              <w:rPr>
                <w:rFonts w:hint="eastAsia"/>
              </w:rPr>
              <w:t xml:space="preserve">-2 </w:t>
            </w:r>
            <w:proofErr w:type="gramStart"/>
            <w:r>
              <w:rPr>
                <w:rFonts w:hint="eastAsia"/>
              </w:rPr>
              <w:t>轮活枝</w:t>
            </w:r>
            <w:proofErr w:type="gramEnd"/>
            <w:r>
              <w:rPr>
                <w:rFonts w:hint="eastAsia"/>
              </w:rPr>
              <w:t>；</w:t>
            </w:r>
          </w:p>
          <w:p w14:paraId="7FABB14A" w14:textId="77777777" w:rsidR="006304C3" w:rsidRDefault="006304C3" w:rsidP="003E2D5A">
            <w:r>
              <w:rPr>
                <w:rFonts w:hint="eastAsia"/>
              </w:rPr>
              <w:t>②胸径</w:t>
            </w:r>
            <w:r>
              <w:rPr>
                <w:rFonts w:hint="eastAsia"/>
              </w:rPr>
              <w:t xml:space="preserve"> 20-25cm</w:t>
            </w:r>
            <w:r>
              <w:rPr>
                <w:rFonts w:hint="eastAsia"/>
              </w:rPr>
              <w:t>，修枝后保留冠长不低于树高的</w:t>
            </w:r>
            <w:r>
              <w:rPr>
                <w:rFonts w:hint="eastAsia"/>
              </w:rPr>
              <w:t xml:space="preserve"> 2/3</w:t>
            </w:r>
            <w:r>
              <w:rPr>
                <w:rFonts w:hint="eastAsia"/>
              </w:rPr>
              <w:t>、枝桩尽量修平，剪口不能伤害树干的韧皮部和木质部；</w:t>
            </w:r>
          </w:p>
          <w:p w14:paraId="78BD5DB7" w14:textId="77777777" w:rsidR="006304C3" w:rsidRDefault="006304C3" w:rsidP="003E2D5A">
            <w:r>
              <w:rPr>
                <w:rFonts w:hint="eastAsia"/>
              </w:rPr>
              <w:t>③胸径</w:t>
            </w:r>
            <w:r>
              <w:rPr>
                <w:rFonts w:hint="eastAsia"/>
              </w:rPr>
              <w:t xml:space="preserve"> 25cm </w:t>
            </w:r>
            <w:r>
              <w:rPr>
                <w:rFonts w:hint="eastAsia"/>
              </w:rPr>
              <w:t>以上，修枝后保留冠长不低于树高的</w:t>
            </w:r>
            <w:r>
              <w:rPr>
                <w:rFonts w:hint="eastAsia"/>
              </w:rPr>
              <w:t xml:space="preserve"> 1/2</w:t>
            </w:r>
            <w:r>
              <w:rPr>
                <w:rFonts w:hint="eastAsia"/>
              </w:rPr>
              <w:t>、枝桩尽量修平，剪口不能伤害树干的韧皮部和木质部。</w:t>
            </w:r>
          </w:p>
          <w:p w14:paraId="13C11CCF" w14:textId="77777777" w:rsidR="006304C3" w:rsidRDefault="006304C3" w:rsidP="003E2D5A">
            <w:r>
              <w:rPr>
                <w:rFonts w:hint="eastAsia"/>
              </w:rPr>
              <w:t>（</w:t>
            </w:r>
            <w:r>
              <w:rPr>
                <w:rFonts w:hint="eastAsia"/>
              </w:rPr>
              <w:t>3)</w:t>
            </w:r>
            <w:r>
              <w:rPr>
                <w:rFonts w:hint="eastAsia"/>
              </w:rPr>
              <w:t>当年栽植验收标准</w:t>
            </w:r>
          </w:p>
          <w:p w14:paraId="727AF741" w14:textId="77777777" w:rsidR="006304C3" w:rsidRDefault="006304C3" w:rsidP="003E2D5A">
            <w:r>
              <w:rPr>
                <w:rFonts w:hint="eastAsia"/>
              </w:rPr>
              <w:t>在栽植完成后一个月内进行，主要对造林面积、苗木成活率、苗木生长指标进行验收，要求当年造林苗木保存率达</w:t>
            </w:r>
            <w:r>
              <w:rPr>
                <w:rFonts w:hint="eastAsia"/>
              </w:rPr>
              <w:t xml:space="preserve"> 95%</w:t>
            </w:r>
            <w:r>
              <w:rPr>
                <w:rFonts w:hint="eastAsia"/>
              </w:rPr>
              <w:t>以上，林木长势旺盛。</w:t>
            </w:r>
          </w:p>
          <w:p w14:paraId="726C7272" w14:textId="77777777" w:rsidR="006304C3" w:rsidRDefault="006304C3" w:rsidP="003E2D5A">
            <w:r>
              <w:rPr>
                <w:rFonts w:hint="eastAsia"/>
              </w:rPr>
              <w:t>（</w:t>
            </w:r>
            <w:r>
              <w:rPr>
                <w:rFonts w:hint="eastAsia"/>
              </w:rPr>
              <w:t>4)</w:t>
            </w:r>
            <w:r>
              <w:rPr>
                <w:rFonts w:hint="eastAsia"/>
              </w:rPr>
              <w:t>当年抚育验收标准</w:t>
            </w:r>
          </w:p>
          <w:p w14:paraId="456F66BD" w14:textId="77777777" w:rsidR="006304C3" w:rsidRDefault="006304C3" w:rsidP="003E2D5A">
            <w:r>
              <w:rPr>
                <w:rFonts w:hint="eastAsia"/>
              </w:rPr>
              <w:t>当年抚育验收在当年抚育后一个月内进行，验收内容包括抚育面积、苗木成活率、苗木生长指标、抚育措施、抚育质量等，要求按照作业设计进行抚育，抚育率达</w:t>
            </w:r>
            <w:r>
              <w:rPr>
                <w:rFonts w:hint="eastAsia"/>
              </w:rPr>
              <w:t xml:space="preserve"> 100%</w:t>
            </w:r>
            <w:r>
              <w:rPr>
                <w:rFonts w:hint="eastAsia"/>
              </w:rPr>
              <w:t>，保存率达</w:t>
            </w:r>
            <w:r>
              <w:rPr>
                <w:rFonts w:hint="eastAsia"/>
              </w:rPr>
              <w:t xml:space="preserve"> 90%</w:t>
            </w:r>
            <w:r>
              <w:rPr>
                <w:rFonts w:hint="eastAsia"/>
              </w:rPr>
              <w:t>以上。</w:t>
            </w:r>
          </w:p>
          <w:p w14:paraId="5DC54D14" w14:textId="77777777" w:rsidR="006304C3" w:rsidRDefault="006304C3" w:rsidP="003E2D5A">
            <w:r>
              <w:rPr>
                <w:rFonts w:hint="eastAsia"/>
              </w:rPr>
              <w:t>（</w:t>
            </w:r>
            <w:r>
              <w:rPr>
                <w:rFonts w:hint="eastAsia"/>
              </w:rPr>
              <w:t>5)</w:t>
            </w:r>
            <w:r>
              <w:rPr>
                <w:rFonts w:hint="eastAsia"/>
              </w:rPr>
              <w:t>第二年抚育验收标准</w:t>
            </w:r>
          </w:p>
          <w:p w14:paraId="752AF219" w14:textId="77777777" w:rsidR="006304C3" w:rsidRDefault="006304C3" w:rsidP="003E2D5A">
            <w:r>
              <w:rPr>
                <w:rFonts w:hint="eastAsia"/>
              </w:rPr>
              <w:t>第二年抚育验收在第二年每次抚育后一个月内进行，验收内容包括抚育面积、苗木成活率、苗木生长指标、抚育措施、抚育质量等，要求按照作业设计进行抚育，抚育率达</w:t>
            </w:r>
            <w:r>
              <w:rPr>
                <w:rFonts w:hint="eastAsia"/>
              </w:rPr>
              <w:t xml:space="preserve"> 100%</w:t>
            </w:r>
            <w:r>
              <w:rPr>
                <w:rFonts w:hint="eastAsia"/>
              </w:rPr>
              <w:t>，保存率达</w:t>
            </w:r>
            <w:r>
              <w:rPr>
                <w:rFonts w:hint="eastAsia"/>
              </w:rPr>
              <w:t xml:space="preserve"> 90%</w:t>
            </w:r>
            <w:r>
              <w:rPr>
                <w:rFonts w:hint="eastAsia"/>
              </w:rPr>
              <w:t>以上。</w:t>
            </w:r>
          </w:p>
          <w:p w14:paraId="0B969043" w14:textId="77777777" w:rsidR="006304C3" w:rsidRDefault="006304C3" w:rsidP="003E2D5A">
            <w:r>
              <w:rPr>
                <w:rFonts w:hint="eastAsia"/>
              </w:rPr>
              <w:t>（</w:t>
            </w:r>
            <w:r>
              <w:rPr>
                <w:rFonts w:hint="eastAsia"/>
              </w:rPr>
              <w:t>6)</w:t>
            </w:r>
            <w:r>
              <w:rPr>
                <w:rFonts w:hint="eastAsia"/>
              </w:rPr>
              <w:t>第三年抚育验收标准</w:t>
            </w:r>
          </w:p>
          <w:p w14:paraId="2A291276" w14:textId="77777777" w:rsidR="006304C3" w:rsidRDefault="006304C3" w:rsidP="003E2D5A">
            <w:r>
              <w:rPr>
                <w:rFonts w:hint="eastAsia"/>
              </w:rPr>
              <w:t>第三年抚育验收在第三年每次抚育后一个月内进行，验收内容包括抚育面积、苗木成活率、苗木生长指标、抚育措施、抚育质量等，要求按照作业设计进行抚育，抚育率达</w:t>
            </w:r>
            <w:r>
              <w:rPr>
                <w:rFonts w:hint="eastAsia"/>
              </w:rPr>
              <w:t xml:space="preserve"> 100%</w:t>
            </w:r>
            <w:r>
              <w:rPr>
                <w:rFonts w:hint="eastAsia"/>
              </w:rPr>
              <w:t>，保存率达</w:t>
            </w:r>
            <w:r>
              <w:rPr>
                <w:rFonts w:hint="eastAsia"/>
              </w:rPr>
              <w:t xml:space="preserve"> 90%</w:t>
            </w:r>
            <w:r>
              <w:rPr>
                <w:rFonts w:hint="eastAsia"/>
              </w:rPr>
              <w:t>以上。</w:t>
            </w:r>
          </w:p>
          <w:p w14:paraId="04B61495" w14:textId="77777777" w:rsidR="006304C3" w:rsidRDefault="006304C3" w:rsidP="003E2D5A">
            <w:r>
              <w:rPr>
                <w:rFonts w:hint="eastAsia"/>
              </w:rPr>
              <w:t>（</w:t>
            </w:r>
            <w:r>
              <w:rPr>
                <w:rFonts w:hint="eastAsia"/>
              </w:rPr>
              <w:t>7</w:t>
            </w:r>
            <w:r>
              <w:rPr>
                <w:rFonts w:hint="eastAsia"/>
              </w:rPr>
              <w:t>）竣工总验收标准</w:t>
            </w:r>
          </w:p>
          <w:p w14:paraId="58405831" w14:textId="77777777" w:rsidR="006304C3" w:rsidRDefault="006304C3" w:rsidP="003E2D5A">
            <w:r>
              <w:rPr>
                <w:rFonts w:hint="eastAsia"/>
              </w:rPr>
              <w:t>竣工总验收在养护期满后两个月内进行，验收内容包括抚育面积苗木成活率、苗木生长指标、抚育措施、抚育质量等，苗木自然高度平均达到</w:t>
            </w:r>
            <w:r>
              <w:rPr>
                <w:rFonts w:hint="eastAsia"/>
              </w:rPr>
              <w:t xml:space="preserve"> 2.2m </w:t>
            </w:r>
            <w:r>
              <w:rPr>
                <w:rFonts w:hint="eastAsia"/>
              </w:rPr>
              <w:t>以上，抚育率达</w:t>
            </w:r>
            <w:r>
              <w:rPr>
                <w:rFonts w:hint="eastAsia"/>
              </w:rPr>
              <w:t xml:space="preserve"> 100%</w:t>
            </w:r>
            <w:r>
              <w:rPr>
                <w:rFonts w:hint="eastAsia"/>
              </w:rPr>
              <w:t>，保存率达</w:t>
            </w:r>
            <w:r>
              <w:rPr>
                <w:rFonts w:hint="eastAsia"/>
              </w:rPr>
              <w:t xml:space="preserve"> 85%</w:t>
            </w:r>
            <w:r>
              <w:rPr>
                <w:rFonts w:hint="eastAsia"/>
              </w:rPr>
              <w:t>以上。</w:t>
            </w:r>
          </w:p>
          <w:p w14:paraId="37843541" w14:textId="77777777" w:rsidR="006304C3" w:rsidRDefault="006304C3" w:rsidP="003E2D5A">
            <w:r>
              <w:rPr>
                <w:rFonts w:hint="eastAsia"/>
              </w:rPr>
              <w:t>（</w:t>
            </w:r>
            <w:r>
              <w:rPr>
                <w:rFonts w:hint="eastAsia"/>
              </w:rPr>
              <w:t>8</w:t>
            </w:r>
            <w:r>
              <w:rPr>
                <w:rFonts w:hint="eastAsia"/>
              </w:rPr>
              <w:t>）验收样地确定</w:t>
            </w:r>
          </w:p>
          <w:p w14:paraId="65FBD634" w14:textId="77777777" w:rsidR="006304C3" w:rsidRDefault="006304C3" w:rsidP="003E2D5A">
            <w:r>
              <w:rPr>
                <w:rFonts w:hint="eastAsia"/>
              </w:rPr>
              <w:lastRenderedPageBreak/>
              <w:t>采取随机的方法抽取作业小班，分上、中、下坡采取随机的方式布设标准地。检查检查补植苗木成活率，调查标准地内的总株数和缺株情况，计算出苗木的成活率以及检查苗木生状况，测量树高、胸径计算各树种平均高、平均胸径。造林成活株数、死缺株数、平均树高，并用数码相机记录。</w:t>
            </w:r>
          </w:p>
          <w:p w14:paraId="09556FB2" w14:textId="77777777" w:rsidR="006304C3" w:rsidRDefault="006304C3" w:rsidP="003E2D5A">
            <w:r>
              <w:rPr>
                <w:rFonts w:hint="eastAsia"/>
              </w:rPr>
              <w:t>修枝要求施工方每棵修枝树进行定牌登记、拍照等，验收时按照面积</w:t>
            </w:r>
            <w:r>
              <w:rPr>
                <w:rFonts w:hint="eastAsia"/>
              </w:rPr>
              <w:t xml:space="preserve"> 100 </w:t>
            </w:r>
            <w:r>
              <w:rPr>
                <w:rFonts w:hint="eastAsia"/>
              </w:rPr>
              <w:t>亩以下（含</w:t>
            </w:r>
            <w:r>
              <w:rPr>
                <w:rFonts w:hint="eastAsia"/>
              </w:rPr>
              <w:t xml:space="preserve"> 100 </w:t>
            </w:r>
            <w:r>
              <w:rPr>
                <w:rFonts w:hint="eastAsia"/>
              </w:rPr>
              <w:t>亩）作业小班抽查</w:t>
            </w:r>
            <w:r>
              <w:rPr>
                <w:rFonts w:hint="eastAsia"/>
              </w:rPr>
              <w:t xml:space="preserve"> 30%</w:t>
            </w:r>
            <w:r>
              <w:rPr>
                <w:rFonts w:hint="eastAsia"/>
              </w:rPr>
              <w:t>，面积</w:t>
            </w:r>
            <w:r>
              <w:rPr>
                <w:rFonts w:hint="eastAsia"/>
              </w:rPr>
              <w:t xml:space="preserve"> 100 </w:t>
            </w:r>
            <w:r>
              <w:rPr>
                <w:rFonts w:hint="eastAsia"/>
              </w:rPr>
              <w:t>亩</w:t>
            </w:r>
            <w:r>
              <w:rPr>
                <w:rFonts w:hint="eastAsia"/>
              </w:rPr>
              <w:t xml:space="preserve">-300 </w:t>
            </w:r>
            <w:r>
              <w:rPr>
                <w:rFonts w:hint="eastAsia"/>
              </w:rPr>
              <w:t>亩作业小班抽查</w:t>
            </w:r>
            <w:r>
              <w:rPr>
                <w:rFonts w:hint="eastAsia"/>
              </w:rPr>
              <w:t xml:space="preserve"> 10%</w:t>
            </w:r>
            <w:r>
              <w:rPr>
                <w:rFonts w:hint="eastAsia"/>
              </w:rPr>
              <w:t>，面积</w:t>
            </w:r>
            <w:r>
              <w:rPr>
                <w:rFonts w:hint="eastAsia"/>
              </w:rPr>
              <w:t xml:space="preserve"> 300 </w:t>
            </w:r>
            <w:proofErr w:type="gramStart"/>
            <w:r>
              <w:rPr>
                <w:rFonts w:hint="eastAsia"/>
              </w:rPr>
              <w:t>亩以上</w:t>
            </w:r>
            <w:proofErr w:type="gramEnd"/>
            <w:r>
              <w:rPr>
                <w:rFonts w:hint="eastAsia"/>
              </w:rPr>
              <w:t>抽查</w:t>
            </w:r>
            <w:r>
              <w:rPr>
                <w:rFonts w:hint="eastAsia"/>
              </w:rPr>
              <w:t xml:space="preserve"> 5%</w:t>
            </w:r>
            <w:r>
              <w:rPr>
                <w:rFonts w:hint="eastAsia"/>
              </w:rPr>
              <w:t>。</w:t>
            </w:r>
          </w:p>
          <w:p w14:paraId="2DAABB3C" w14:textId="77777777" w:rsidR="006304C3" w:rsidRDefault="006304C3" w:rsidP="003E2D5A">
            <w:r>
              <w:rPr>
                <w:rFonts w:hint="eastAsia"/>
              </w:rPr>
              <w:t>采用样方调查方法。根据小班（地块）面积大小，选取有代表性地块，均匀设置若干样方（</w:t>
            </w:r>
            <w:r>
              <w:rPr>
                <w:rFonts w:hint="eastAsia"/>
              </w:rPr>
              <w:t xml:space="preserve">50 </w:t>
            </w:r>
            <w:proofErr w:type="gramStart"/>
            <w:r>
              <w:rPr>
                <w:rFonts w:hint="eastAsia"/>
              </w:rPr>
              <w:t>亩以下设</w:t>
            </w:r>
            <w:proofErr w:type="gramEnd"/>
            <w:r>
              <w:rPr>
                <w:rFonts w:hint="eastAsia"/>
              </w:rPr>
              <w:t xml:space="preserve"> 1 </w:t>
            </w:r>
            <w:proofErr w:type="gramStart"/>
            <w:r>
              <w:rPr>
                <w:rFonts w:hint="eastAsia"/>
              </w:rPr>
              <w:t>个</w:t>
            </w:r>
            <w:proofErr w:type="gramEnd"/>
            <w:r>
              <w:rPr>
                <w:rFonts w:hint="eastAsia"/>
              </w:rPr>
              <w:t>样方，</w:t>
            </w:r>
            <w:r>
              <w:rPr>
                <w:rFonts w:hint="eastAsia"/>
              </w:rPr>
              <w:t>50</w:t>
            </w:r>
            <w:r>
              <w:rPr>
                <w:rFonts w:hint="eastAsia"/>
              </w:rPr>
              <w:t>～</w:t>
            </w:r>
            <w:r>
              <w:rPr>
                <w:rFonts w:hint="eastAsia"/>
              </w:rPr>
              <w:t xml:space="preserve">100 </w:t>
            </w:r>
            <w:proofErr w:type="gramStart"/>
            <w:r>
              <w:rPr>
                <w:rFonts w:hint="eastAsia"/>
              </w:rPr>
              <w:t>亩设</w:t>
            </w:r>
            <w:proofErr w:type="gramEnd"/>
            <w:r>
              <w:rPr>
                <w:rFonts w:hint="eastAsia"/>
              </w:rPr>
              <w:t xml:space="preserve">2 </w:t>
            </w:r>
            <w:proofErr w:type="gramStart"/>
            <w:r>
              <w:rPr>
                <w:rFonts w:hint="eastAsia"/>
              </w:rPr>
              <w:t>个</w:t>
            </w:r>
            <w:proofErr w:type="gramEnd"/>
            <w:r>
              <w:rPr>
                <w:rFonts w:hint="eastAsia"/>
              </w:rPr>
              <w:t>样方，</w:t>
            </w:r>
            <w:r>
              <w:rPr>
                <w:rFonts w:hint="eastAsia"/>
              </w:rPr>
              <w:t xml:space="preserve">100 </w:t>
            </w:r>
            <w:proofErr w:type="gramStart"/>
            <w:r>
              <w:rPr>
                <w:rFonts w:hint="eastAsia"/>
              </w:rPr>
              <w:t>亩以上</w:t>
            </w:r>
            <w:proofErr w:type="gramEnd"/>
            <w:r>
              <w:rPr>
                <w:rFonts w:hint="eastAsia"/>
              </w:rPr>
              <w:t>设</w:t>
            </w:r>
            <w:r>
              <w:rPr>
                <w:rFonts w:hint="eastAsia"/>
              </w:rPr>
              <w:t xml:space="preserve"> 3 </w:t>
            </w:r>
            <w:proofErr w:type="gramStart"/>
            <w:r>
              <w:rPr>
                <w:rFonts w:hint="eastAsia"/>
              </w:rPr>
              <w:t>个</w:t>
            </w:r>
            <w:proofErr w:type="gramEnd"/>
            <w:r>
              <w:rPr>
                <w:rFonts w:hint="eastAsia"/>
              </w:rPr>
              <w:t>样方，</w:t>
            </w:r>
            <w:r>
              <w:rPr>
                <w:rFonts w:hint="eastAsia"/>
              </w:rPr>
              <w:t xml:space="preserve">300 </w:t>
            </w:r>
            <w:proofErr w:type="gramStart"/>
            <w:r>
              <w:rPr>
                <w:rFonts w:hint="eastAsia"/>
              </w:rPr>
              <w:t>亩以上</w:t>
            </w:r>
            <w:proofErr w:type="gramEnd"/>
            <w:r>
              <w:rPr>
                <w:rFonts w:hint="eastAsia"/>
              </w:rPr>
              <w:t>设</w:t>
            </w:r>
            <w:r>
              <w:rPr>
                <w:rFonts w:hint="eastAsia"/>
              </w:rPr>
              <w:t xml:space="preserve"> 5 </w:t>
            </w:r>
            <w:proofErr w:type="gramStart"/>
            <w:r>
              <w:rPr>
                <w:rFonts w:hint="eastAsia"/>
              </w:rPr>
              <w:t>个</w:t>
            </w:r>
            <w:proofErr w:type="gramEnd"/>
            <w:r>
              <w:rPr>
                <w:rFonts w:hint="eastAsia"/>
              </w:rPr>
              <w:t>样方）。样方长</w:t>
            </w:r>
            <w:r>
              <w:rPr>
                <w:rFonts w:hint="eastAsia"/>
              </w:rPr>
              <w:t xml:space="preserve"> 20 </w:t>
            </w:r>
            <w:r>
              <w:rPr>
                <w:rFonts w:hint="eastAsia"/>
              </w:rPr>
              <w:t>米，宽</w:t>
            </w:r>
            <w:r>
              <w:rPr>
                <w:rFonts w:hint="eastAsia"/>
              </w:rPr>
              <w:t xml:space="preserve"> 10 </w:t>
            </w:r>
            <w:r>
              <w:rPr>
                <w:rFonts w:hint="eastAsia"/>
              </w:rPr>
              <w:t>米、面积</w:t>
            </w:r>
            <w:r>
              <w:rPr>
                <w:rFonts w:hint="eastAsia"/>
              </w:rPr>
              <w:t xml:space="preserve"> 200 </w:t>
            </w:r>
            <w:r>
              <w:rPr>
                <w:rFonts w:hint="eastAsia"/>
              </w:rPr>
              <w:t>平方米。在样方内调查林地清理后地被覆盖度，并用数码相机记录。</w:t>
            </w:r>
          </w:p>
        </w:tc>
      </w:tr>
      <w:tr w:rsidR="006304C3" w14:paraId="391EE6F1" w14:textId="77777777" w:rsidTr="003E2D5A">
        <w:tc>
          <w:tcPr>
            <w:tcW w:w="1242" w:type="dxa"/>
          </w:tcPr>
          <w:p w14:paraId="18AD7455" w14:textId="77777777" w:rsidR="006304C3" w:rsidRDefault="006304C3" w:rsidP="003E2D5A">
            <w:r>
              <w:lastRenderedPageBreak/>
              <w:t>履约保证金</w:t>
            </w:r>
          </w:p>
        </w:tc>
        <w:tc>
          <w:tcPr>
            <w:tcW w:w="7064" w:type="dxa"/>
          </w:tcPr>
          <w:p w14:paraId="5154B134" w14:textId="77777777" w:rsidR="006304C3" w:rsidRDefault="006304C3" w:rsidP="003E2D5A">
            <w:r>
              <w:t>收取比例：</w:t>
            </w:r>
            <w:r>
              <w:t>10%,</w:t>
            </w:r>
            <w:r>
              <w:t>说明：（一）中标供应商应在合同签订后</w:t>
            </w:r>
            <w:r>
              <w:t>30</w:t>
            </w:r>
            <w:r>
              <w:t>天内，向采购人提交合同价</w:t>
            </w:r>
            <w:r>
              <w:t>10%</w:t>
            </w:r>
            <w:r>
              <w:t>为期一年的保函或其他非现金形式作为履约保证金（如本项目为中小企业中标的，则履约保证金设定为中标价的</w:t>
            </w:r>
            <w:r>
              <w:t>5%</w:t>
            </w:r>
            <w:r>
              <w:t>，签订合同时中标供应商需提供中小企业声明函给采购人提起申请），合同期满</w:t>
            </w:r>
            <w:r>
              <w:t>30</w:t>
            </w:r>
            <w:r>
              <w:t>天后银行保函自动失效。对于因中标供应商原因提前解除合同或造成工程质量事故的，或在合同期发现原投标材料有虚假证明的，经报政府招标监督管理部门认定属实后，依法进行处罚。同时，采购人不予退还中标供应商提交的履约保证金。</w:t>
            </w:r>
            <w:r>
              <w:t xml:space="preserve"> </w:t>
            </w:r>
            <w:r>
              <w:t>（二）中标供应商发生如下情形之一的，采购人不予退还履约保证金：</w:t>
            </w:r>
            <w:r>
              <w:t xml:space="preserve"> 1</w:t>
            </w:r>
            <w:r>
              <w:t>、中标供应商事前未告知或未征得采购人同意而将本工程转包或分包的；</w:t>
            </w:r>
            <w:r>
              <w:t xml:space="preserve"> 2</w:t>
            </w:r>
            <w:r>
              <w:t>、未能按合同约定履行服务义务、职责而造成采购人财物损失的；</w:t>
            </w:r>
            <w:r>
              <w:t xml:space="preserve"> 3</w:t>
            </w:r>
            <w:r>
              <w:t>、在服务过程中发生严重失职导致责任事故或者不良社会影响的；</w:t>
            </w:r>
            <w:r>
              <w:t xml:space="preserve"> 4</w:t>
            </w:r>
            <w:r>
              <w:t>、克扣人员工资或未按规定及时足额支付人员工资福利待遇的；</w:t>
            </w:r>
            <w:r>
              <w:t xml:space="preserve"> 5</w:t>
            </w:r>
            <w:r>
              <w:t>、中标供应商违反合同规定，所提供的服务未达到合同要求，采购人书面提出整改通知，累计提出达三次，中标供应商未按要求及时整改的。</w:t>
            </w:r>
            <w:r>
              <w:t xml:space="preserve"> </w:t>
            </w:r>
            <w:r>
              <w:t>如在合同期内，中标供应商发生以上情形之一，采购人可直接从中标供应商提供履约保函的银行直接提取违约金作为造成各种损失的补偿。</w:t>
            </w:r>
            <w:r>
              <w:t xml:space="preserve"> </w:t>
            </w:r>
            <w:r>
              <w:t>（三）逾期不退还履约保证金的违约责任：</w:t>
            </w:r>
            <w:r>
              <w:t xml:space="preserve"> 1</w:t>
            </w:r>
            <w:r>
              <w:t>、中标供应商有权要求采购人缴纳同服务费用总金额</w:t>
            </w:r>
            <w:r>
              <w:t>5%</w:t>
            </w:r>
            <w:r>
              <w:t>的违约金；</w:t>
            </w:r>
            <w:r>
              <w:t xml:space="preserve"> 2</w:t>
            </w:r>
            <w:r>
              <w:t>、中标供应商有权向采购人所在地的人民法院提起诉讼。</w:t>
            </w:r>
            <w:r>
              <w:t xml:space="preserve"> </w:t>
            </w:r>
            <w:r>
              <w:t>注：合同期间，中标供应商违约，严重影响采购人正常工作的，造成人身伤害或财产受损，采购人有权单方终止合同，同时向中标供应商索偿；中标供应</w:t>
            </w:r>
            <w:proofErr w:type="gramStart"/>
            <w:r>
              <w:t>商拒绝</w:t>
            </w:r>
            <w:proofErr w:type="gramEnd"/>
            <w:r>
              <w:t>赔偿的，履约保证金将用于冲抵采购人经济损失后返还金额，如保证金不足以冲抵损失时，采购人有权另行向中标供应商追讨。</w:t>
            </w:r>
          </w:p>
        </w:tc>
      </w:tr>
      <w:tr w:rsidR="006304C3" w14:paraId="46D5EF21" w14:textId="77777777" w:rsidTr="003E2D5A">
        <w:tc>
          <w:tcPr>
            <w:tcW w:w="1242" w:type="dxa"/>
          </w:tcPr>
          <w:p w14:paraId="718E773A" w14:textId="77777777" w:rsidR="006304C3" w:rsidRDefault="006304C3" w:rsidP="003E2D5A">
            <w:r>
              <w:t>其他</w:t>
            </w:r>
          </w:p>
        </w:tc>
        <w:tc>
          <w:tcPr>
            <w:tcW w:w="7064" w:type="dxa"/>
          </w:tcPr>
          <w:p w14:paraId="0180D772" w14:textId="77777777" w:rsidR="006304C3" w:rsidRDefault="006304C3" w:rsidP="003E2D5A"/>
        </w:tc>
      </w:tr>
    </w:tbl>
    <w:p w14:paraId="6A9B384A" w14:textId="77777777" w:rsidR="006304C3" w:rsidRPr="006304C3" w:rsidRDefault="006304C3" w:rsidP="006304C3"/>
    <w:sectPr w:rsidR="006304C3" w:rsidRPr="006304C3" w:rsidSect="00B213FE">
      <w:pgSz w:w="11907" w:h="16839" w:code="9"/>
      <w:pgMar w:top="1440" w:right="1418" w:bottom="1440" w:left="1418" w:header="851" w:footer="907" w:gutter="0"/>
      <w:cols w:space="425"/>
      <w:docGrid w:linePitch="2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05023" w14:textId="77777777" w:rsidR="009E1B1C" w:rsidRDefault="009E1B1C" w:rsidP="007C155D">
      <w:r>
        <w:separator/>
      </w:r>
    </w:p>
  </w:endnote>
  <w:endnote w:type="continuationSeparator" w:id="0">
    <w:p w14:paraId="7F4E42EF" w14:textId="77777777" w:rsidR="009E1B1C" w:rsidRDefault="009E1B1C" w:rsidP="007C15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0E76A6" w14:textId="77777777" w:rsidR="009E1B1C" w:rsidRDefault="009E1B1C" w:rsidP="007C155D">
      <w:r>
        <w:separator/>
      </w:r>
    </w:p>
  </w:footnote>
  <w:footnote w:type="continuationSeparator" w:id="0">
    <w:p w14:paraId="7F43A461" w14:textId="77777777" w:rsidR="009E1B1C" w:rsidRDefault="009E1B1C" w:rsidP="007C155D">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05"/>
  <w:drawingGridVerticalSpacing w:val="143"/>
  <w:displayHorizontalDrawingGridEvery w:val="0"/>
  <w:displayVerticalDrawingGridEvery w:val="2"/>
  <w:characterSpacingControl w:val="compressPunctuation"/>
  <w:hdrShapeDefaults>
    <o:shapedefaults v:ext="edit" spidmax="1024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FE57BC"/>
    <w:rsid w:val="00061FDF"/>
    <w:rsid w:val="00154ADB"/>
    <w:rsid w:val="001A234D"/>
    <w:rsid w:val="001E0F70"/>
    <w:rsid w:val="002150D0"/>
    <w:rsid w:val="0022290B"/>
    <w:rsid w:val="003470DB"/>
    <w:rsid w:val="0035788D"/>
    <w:rsid w:val="003E4AB8"/>
    <w:rsid w:val="00451316"/>
    <w:rsid w:val="004876C7"/>
    <w:rsid w:val="004B39E4"/>
    <w:rsid w:val="005A06A2"/>
    <w:rsid w:val="006304C3"/>
    <w:rsid w:val="006B2EB6"/>
    <w:rsid w:val="007A40C2"/>
    <w:rsid w:val="007C155D"/>
    <w:rsid w:val="00842511"/>
    <w:rsid w:val="00873A49"/>
    <w:rsid w:val="008A6565"/>
    <w:rsid w:val="009E1B1C"/>
    <w:rsid w:val="00A52FC3"/>
    <w:rsid w:val="00AB282A"/>
    <w:rsid w:val="00AD3ECE"/>
    <w:rsid w:val="00AD5ED8"/>
    <w:rsid w:val="00AF6097"/>
    <w:rsid w:val="00B213FE"/>
    <w:rsid w:val="00BD4F49"/>
    <w:rsid w:val="00DB53A8"/>
    <w:rsid w:val="00E50BE3"/>
    <w:rsid w:val="00E86F3A"/>
    <w:rsid w:val="00F0142A"/>
    <w:rsid w:val="00F038A2"/>
    <w:rsid w:val="00F06A5B"/>
    <w:rsid w:val="00F950A6"/>
    <w:rsid w:val="00FC3AF4"/>
    <w:rsid w:val="00FE57B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4F4FCA5"/>
  <w15:docId w15:val="{2616584A-5063-4B21-A224-15C82172B5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3470DB"/>
    <w:pPr>
      <w:widowControl w:val="0"/>
      <w:jc w:val="both"/>
    </w:pPr>
  </w:style>
  <w:style w:type="paragraph" w:styleId="2">
    <w:name w:val="heading 2"/>
    <w:basedOn w:val="a"/>
    <w:next w:val="a"/>
    <w:link w:val="20"/>
    <w:unhideWhenUsed/>
    <w:qFormat/>
    <w:rsid w:val="006304C3"/>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C155D"/>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7C155D"/>
    <w:rPr>
      <w:sz w:val="18"/>
      <w:szCs w:val="18"/>
    </w:rPr>
  </w:style>
  <w:style w:type="paragraph" w:styleId="a5">
    <w:name w:val="footer"/>
    <w:basedOn w:val="a"/>
    <w:link w:val="a6"/>
    <w:uiPriority w:val="99"/>
    <w:unhideWhenUsed/>
    <w:rsid w:val="007C155D"/>
    <w:pPr>
      <w:tabs>
        <w:tab w:val="center" w:pos="4153"/>
        <w:tab w:val="right" w:pos="8306"/>
      </w:tabs>
      <w:snapToGrid w:val="0"/>
      <w:jc w:val="left"/>
    </w:pPr>
    <w:rPr>
      <w:sz w:val="18"/>
      <w:szCs w:val="18"/>
    </w:rPr>
  </w:style>
  <w:style w:type="character" w:customStyle="1" w:styleId="a6">
    <w:name w:val="页脚 字符"/>
    <w:basedOn w:val="a0"/>
    <w:link w:val="a5"/>
    <w:uiPriority w:val="99"/>
    <w:rsid w:val="007C155D"/>
    <w:rPr>
      <w:sz w:val="18"/>
      <w:szCs w:val="18"/>
    </w:rPr>
  </w:style>
  <w:style w:type="character" w:customStyle="1" w:styleId="20">
    <w:name w:val="标题 2 字符"/>
    <w:basedOn w:val="a0"/>
    <w:link w:val="2"/>
    <w:rsid w:val="006304C3"/>
    <w:rPr>
      <w:rFonts w:asciiTheme="majorHAnsi" w:eastAsiaTheme="majorEastAsia" w:hAnsiTheme="majorHAnsi" w:cstheme="majorBidi"/>
      <w:b/>
      <w:bCs/>
      <w:sz w:val="32"/>
      <w:szCs w:val="32"/>
    </w:rPr>
  </w:style>
  <w:style w:type="table" w:styleId="a7">
    <w:name w:val="Table Grid"/>
    <w:basedOn w:val="a1"/>
    <w:qFormat/>
    <w:rsid w:val="006304C3"/>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23</Pages>
  <Words>3298</Words>
  <Characters>18803</Characters>
  <Application>Microsoft Office Word</Application>
  <DocSecurity>0</DocSecurity>
  <Lines>156</Lines>
  <Paragraphs>44</Paragraphs>
  <ScaleCrop>false</ScaleCrop>
  <Company>Microsoft</Company>
  <LinksUpToDate>false</LinksUpToDate>
  <CharactersWithSpaces>22057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永连招标-黄工</dc:creator>
  <cp:keywords/>
  <dc:description/>
  <cp:lastModifiedBy>A</cp:lastModifiedBy>
  <cp:revision>25</cp:revision>
  <dcterms:created xsi:type="dcterms:W3CDTF">2023-06-19T09:11:00Z</dcterms:created>
  <dcterms:modified xsi:type="dcterms:W3CDTF">2024-03-20T06:55:00Z</dcterms:modified>
</cp:coreProperties>
</file>