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7E0B" w14:textId="77777777" w:rsidR="0021681C" w:rsidRDefault="00086B5E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>2023</w:t>
      </w:r>
      <w:r>
        <w:rPr>
          <w:rFonts w:ascii="宋体" w:eastAsia="宋体" w:hAnsi="宋体" w:hint="eastAsia"/>
          <w:b/>
          <w:bCs/>
          <w:sz w:val="44"/>
          <w:szCs w:val="44"/>
        </w:rPr>
        <w:t>年</w:t>
      </w:r>
      <w:r>
        <w:rPr>
          <w:rFonts w:ascii="宋体" w:eastAsia="宋体" w:hAnsi="宋体" w:hint="eastAsia"/>
          <w:b/>
          <w:bCs/>
          <w:sz w:val="44"/>
          <w:szCs w:val="44"/>
        </w:rPr>
        <w:t>IPTV</w:t>
      </w:r>
      <w:r>
        <w:rPr>
          <w:rFonts w:ascii="宋体" w:eastAsia="宋体" w:hAnsi="宋体" w:hint="eastAsia"/>
          <w:b/>
          <w:bCs/>
          <w:sz w:val="44"/>
          <w:szCs w:val="44"/>
        </w:rPr>
        <w:t>播控平台及地级市接入交换机维保服务续保采购项目</w:t>
      </w:r>
      <w:r>
        <w:rPr>
          <w:rFonts w:ascii="宋体" w:eastAsia="宋体" w:hAnsi="宋体" w:hint="eastAsia"/>
          <w:b/>
          <w:bCs/>
          <w:sz w:val="44"/>
          <w:szCs w:val="44"/>
        </w:rPr>
        <w:t>采购需求</w:t>
      </w:r>
    </w:p>
    <w:p w14:paraId="22F23919" w14:textId="77777777" w:rsidR="0021681C" w:rsidRDefault="0021681C"/>
    <w:p w14:paraId="41854A66" w14:textId="77777777" w:rsidR="0021681C" w:rsidRDefault="00086B5E">
      <w:pPr>
        <w:pStyle w:val="1"/>
        <w:spacing w:before="0" w:after="0" w:line="360" w:lineRule="auto"/>
        <w:rPr>
          <w:rFonts w:ascii="宋体" w:eastAsia="宋体" w:hAnsi="宋体" w:cs="宋体"/>
          <w:sz w:val="24"/>
          <w:szCs w:val="24"/>
        </w:rPr>
      </w:pPr>
      <w:bookmarkStart w:id="0" w:name="_Toc408387834"/>
      <w:bookmarkStart w:id="1" w:name="_Toc2064885103"/>
      <w:r>
        <w:rPr>
          <w:rFonts w:ascii="宋体" w:eastAsia="宋体" w:hAnsi="宋体" w:cs="宋体" w:hint="eastAsia"/>
          <w:sz w:val="24"/>
          <w:szCs w:val="24"/>
        </w:rPr>
        <w:t>一、项目概述</w:t>
      </w:r>
      <w:bookmarkEnd w:id="0"/>
      <w:bookmarkEnd w:id="1"/>
    </w:p>
    <w:p w14:paraId="31840E7C" w14:textId="70A3575D" w:rsidR="0021681C" w:rsidRDefault="00086B5E">
      <w:pPr>
        <w:spacing w:line="360" w:lineRule="auto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为保障</w:t>
      </w:r>
      <w:r>
        <w:rPr>
          <w:rFonts w:ascii="宋体" w:eastAsia="宋体" w:hAnsi="宋体" w:cs="宋体" w:hint="eastAsia"/>
          <w:sz w:val="24"/>
        </w:rPr>
        <w:t>IPTV</w:t>
      </w:r>
      <w:r>
        <w:rPr>
          <w:rFonts w:ascii="宋体" w:eastAsia="宋体" w:hAnsi="宋体" w:cs="宋体" w:hint="eastAsia"/>
          <w:sz w:val="24"/>
        </w:rPr>
        <w:t>播控平台部署于各个地级市的接入网络正常运行，确保信号传输以及安全播出，本项目建议对地级市</w:t>
      </w:r>
      <w:r>
        <w:rPr>
          <w:rFonts w:ascii="宋体" w:eastAsia="宋体" w:hAnsi="宋体" w:cs="宋体" w:hint="eastAsia"/>
          <w:sz w:val="24"/>
        </w:rPr>
        <w:t>32</w:t>
      </w:r>
      <w:r>
        <w:rPr>
          <w:rFonts w:ascii="宋体" w:eastAsia="宋体" w:hAnsi="宋体" w:cs="宋体" w:hint="eastAsia"/>
          <w:sz w:val="24"/>
        </w:rPr>
        <w:t>台的接入交换机维保服务进行采购，计划从签订合同期起续保三年</w:t>
      </w:r>
      <w:r>
        <w:rPr>
          <w:rFonts w:ascii="宋体" w:eastAsia="宋体" w:hAnsi="宋体" w:cs="宋体" w:hint="eastAsia"/>
          <w:sz w:val="24"/>
        </w:rPr>
        <w:t>，包括如下：</w:t>
      </w:r>
    </w:p>
    <w:tbl>
      <w:tblPr>
        <w:tblpPr w:leftFromText="180" w:rightFromText="180" w:vertAnchor="text" w:horzAnchor="page" w:tblpX="1416" w:tblpY="908"/>
        <w:tblOverlap w:val="never"/>
        <w:tblW w:w="9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775"/>
        <w:gridCol w:w="696"/>
        <w:gridCol w:w="1826"/>
        <w:gridCol w:w="2550"/>
        <w:gridCol w:w="1015"/>
        <w:gridCol w:w="1391"/>
      </w:tblGrid>
      <w:tr w:rsidR="0021681C" w14:paraId="16B56EDE" w14:textId="77777777">
        <w:trPr>
          <w:trHeight w:val="441"/>
        </w:trPr>
        <w:tc>
          <w:tcPr>
            <w:tcW w:w="581" w:type="dxa"/>
            <w:shd w:val="clear" w:color="auto" w:fill="auto"/>
            <w:noWrap/>
            <w:vAlign w:val="center"/>
          </w:tcPr>
          <w:p w14:paraId="322C8650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712967A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交换机名称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5C7B560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02A01FE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53F41D0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序列号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570AA66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维保到期时间</w:t>
            </w:r>
          </w:p>
        </w:tc>
        <w:tc>
          <w:tcPr>
            <w:tcW w:w="1391" w:type="dxa"/>
            <w:shd w:val="clear" w:color="auto" w:fill="auto"/>
            <w:noWrap/>
            <w:vAlign w:val="center"/>
          </w:tcPr>
          <w:p w14:paraId="4E9DCC5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计划续保时间</w:t>
            </w:r>
          </w:p>
        </w:tc>
      </w:tr>
      <w:tr w:rsidR="0021681C" w14:paraId="0DA46892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496AE9C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25975AC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（肇庆）交换机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3A83265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5462B67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69FECB6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210235A1XCM197A001B0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6ECEC00E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2022.11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0CAAC06A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75F258AC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774C562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4691B09E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（肇庆）交换机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5E317BE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2B6A68D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2C43D9FE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210235A1XCM197A000M6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420EA45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2022.11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46C45B60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413018AD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6D40C6C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6916A9B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（河源）交换机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2579C13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4AF594B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4A56625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210235A1XCM195A000NQ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6F071F6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2022.9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7F4CD263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43F8B66C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6D2F704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4FF41070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（河源）交换机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61278A3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44EDCDD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71FED95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210235A1XCM195A000PV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58E3F04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2022.9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3B86F884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6E798030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377B183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085DAF2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（清远）交换机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0D165B7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2DBECED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0C11472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210235A1XCM197A000DS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0DE3561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2022.11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656BAA84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2B1214E7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4637A36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5F848AE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（清远）交换机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7AD1634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4DDAB72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5AB1C9C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210235A1XCM197A000MF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7195E8D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2022.11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1F12B0B7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09640713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6FB8B32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1BBD4206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（江门）交换机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469AA0D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35194EF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26F6508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210235A1XCM197A000M3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527C819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2022.11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0D8383CD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67DE0634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5D700ED6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2EF604A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（江门）交换机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2F1D5D80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1498C16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433F83D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210235A1XCM197A000K6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76B10A7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2022.11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00EB8F1D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4DBB88E7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4BA0DB5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750BBE3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（惠州）交换机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5E8C6E56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华为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4C71C1E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S5720-36PC-EI-AC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432924B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2102350BDQDMHB000082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1C718FB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2021.3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4BA32B28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50DE9A78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2E7FEAE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7C6433E0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（惠州）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2B2717E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华为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15CCD8C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S5720-36PC-EI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-AC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6EA423C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2102350BDQDMHB00008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4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29FE587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2021.3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1D93F9B0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期起续保三年</w:t>
            </w:r>
          </w:p>
        </w:tc>
      </w:tr>
      <w:tr w:rsidR="0021681C" w14:paraId="3F6C141B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06D8DD0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11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48A399C0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（云浮）交换机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474E368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1E8F132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71DF1396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210235A1XCM195A000P5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15FF5FD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2022.9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010BDEB9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0EEBF239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304C32C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764552A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（云浮）交换机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5C81111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5E793DD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6C46AB4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210235A1XCM195A000MX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6E2505B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2022.9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1D598910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0EEB0D62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0CB82C2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1082BDE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（韶关）交换机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02BBB8F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76B4574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7F849CA0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210235A1XCM197A001C9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1D799DA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2022.11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5DA14543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21828E6C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6A6D2D9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797B9EA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（韶关）交换机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168326F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407BB78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653C033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210235A1XCM197A001G2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4A55358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2022.11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41F2FA8B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0987AC60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289E9C9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67EA91D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（汕尾）交换机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2CE9D36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215FD84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74F90F0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210235A1XC9207Q00473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11C28DA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2023.8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6FC23C14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4CDF4C2A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34ECA1F0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750D3D7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（汕尾）交换机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17FBF0C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3751919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4F4BDCC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210235A1XC9207Q003T1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2C6250C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2023.8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52C0E35D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43B42422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2D79B7E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31901DA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（揭阳）交换机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00CEBDF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165A002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15C488B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210235A1XC9207Q003SM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2FBDFB2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2023.8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26591CD7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673E4C30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70DAFB2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1BE15A8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（揭阳）交换机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2F5A238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301237B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45EFD4A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210235A1XC9207Q00458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1CBEB3F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2023.8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5B0B9ACB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0403243E" w14:textId="77777777">
        <w:trPr>
          <w:trHeight w:val="353"/>
        </w:trPr>
        <w:tc>
          <w:tcPr>
            <w:tcW w:w="581" w:type="dxa"/>
            <w:shd w:val="clear" w:color="auto" w:fill="auto"/>
            <w:noWrap/>
            <w:vAlign w:val="center"/>
          </w:tcPr>
          <w:p w14:paraId="5BFDC39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3145AF9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（珠海）交换机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596DA94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华为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5F0464A2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S5720-36PC-EI-AC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46957225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2102350BDQDMHB000076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6E48C05E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2021.3</w:t>
            </w:r>
          </w:p>
        </w:tc>
        <w:tc>
          <w:tcPr>
            <w:tcW w:w="1391" w:type="dxa"/>
            <w:shd w:val="clear" w:color="auto" w:fill="auto"/>
            <w:noWrap/>
            <w:vAlign w:val="center"/>
          </w:tcPr>
          <w:p w14:paraId="7808C890" w14:textId="77777777" w:rsidR="0021681C" w:rsidRDefault="00086B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2A89C99C" w14:textId="77777777">
        <w:trPr>
          <w:trHeight w:val="353"/>
        </w:trPr>
        <w:tc>
          <w:tcPr>
            <w:tcW w:w="581" w:type="dxa"/>
            <w:shd w:val="clear" w:color="auto" w:fill="auto"/>
            <w:noWrap/>
            <w:vAlign w:val="center"/>
          </w:tcPr>
          <w:p w14:paraId="07920F9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096D5FD0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（珠海）交换机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4401725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华为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068D8F1E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S5720-36PC-EI-AC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7FB814E3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2102350BDQDMHB000012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540641FF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2021.3</w:t>
            </w:r>
          </w:p>
        </w:tc>
        <w:tc>
          <w:tcPr>
            <w:tcW w:w="1391" w:type="dxa"/>
            <w:shd w:val="clear" w:color="auto" w:fill="auto"/>
            <w:noWrap/>
            <w:vAlign w:val="center"/>
          </w:tcPr>
          <w:p w14:paraId="0F1EC575" w14:textId="77777777" w:rsidR="0021681C" w:rsidRDefault="00086B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49C5A7DD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030830AE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6C402FDE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（茂名）交换机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75793B6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46E7E00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4889C2F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210235A1XC9207Q003X6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6809121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2023.8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3F08A599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56F11F6E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3EC5957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3D04ABD6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（茂名）交换机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7740F8E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1299665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21F73ED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210235A1XC9207Q003S1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2531A86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2023.8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7D162E0A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5EDC5045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7B4FAB1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3A63229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（汕头）交换机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0832CC4E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1FD490D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38C4A2E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210235A1XC9207Q003SC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6AA95C5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2023.8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7E4958B0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07CC1609" w14:textId="77777777">
        <w:trPr>
          <w:trHeight w:val="439"/>
        </w:trPr>
        <w:tc>
          <w:tcPr>
            <w:tcW w:w="581" w:type="dxa"/>
            <w:shd w:val="clear" w:color="auto" w:fill="auto"/>
            <w:noWrap/>
            <w:vAlign w:val="center"/>
          </w:tcPr>
          <w:p w14:paraId="45005C7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39E8A65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（汕头）交换机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2D4302CC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7ECF0AB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67DC3BE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210235A1XC9207Q003TT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06F2996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2023.8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23F4F79D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74CB9845" w14:textId="77777777">
        <w:trPr>
          <w:trHeight w:val="618"/>
        </w:trPr>
        <w:tc>
          <w:tcPr>
            <w:tcW w:w="581" w:type="dxa"/>
            <w:shd w:val="clear" w:color="auto" w:fill="auto"/>
            <w:noWrap/>
            <w:vAlign w:val="center"/>
          </w:tcPr>
          <w:p w14:paraId="3B75FC2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25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38568C4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（湛江）交换机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6B50572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042C91CC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3CE1E0C1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210235A1XCM195A000QJ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407814F2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2022.9</w:t>
            </w:r>
          </w:p>
        </w:tc>
        <w:tc>
          <w:tcPr>
            <w:tcW w:w="1391" w:type="dxa"/>
            <w:shd w:val="clear" w:color="auto" w:fill="auto"/>
            <w:noWrap/>
            <w:vAlign w:val="center"/>
          </w:tcPr>
          <w:p w14:paraId="59C850AB" w14:textId="77777777" w:rsidR="0021681C" w:rsidRDefault="00086B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075E4BAE" w14:textId="77777777">
        <w:trPr>
          <w:trHeight w:val="618"/>
        </w:trPr>
        <w:tc>
          <w:tcPr>
            <w:tcW w:w="581" w:type="dxa"/>
            <w:shd w:val="clear" w:color="auto" w:fill="auto"/>
            <w:noWrap/>
            <w:vAlign w:val="center"/>
          </w:tcPr>
          <w:p w14:paraId="419D7B5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51917E3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（湛江）交换机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55A3D40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090903E8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S5560X-54C-EI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39E79115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210235A1XCM195A000NT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03B59625" w14:textId="77777777" w:rsidR="0021681C" w:rsidRDefault="00086B5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2022.9</w:t>
            </w:r>
          </w:p>
        </w:tc>
        <w:tc>
          <w:tcPr>
            <w:tcW w:w="1391" w:type="dxa"/>
            <w:shd w:val="clear" w:color="auto" w:fill="auto"/>
            <w:noWrap/>
            <w:vAlign w:val="center"/>
          </w:tcPr>
          <w:p w14:paraId="684DAFCD" w14:textId="77777777" w:rsidR="0021681C" w:rsidRDefault="00086B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62575439" w14:textId="77777777">
        <w:trPr>
          <w:trHeight w:val="353"/>
        </w:trPr>
        <w:tc>
          <w:tcPr>
            <w:tcW w:w="581" w:type="dxa"/>
            <w:shd w:val="clear" w:color="auto" w:fill="auto"/>
            <w:noWrap/>
            <w:vAlign w:val="center"/>
          </w:tcPr>
          <w:p w14:paraId="4789FD8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13CFB0B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人民北移动地级市接入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21BADDF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18E2B1F0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H3C5560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4BD1102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210235A1XCM191A000KV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2E65FC2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2022.6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1986C59A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535B0F73" w14:textId="77777777">
        <w:trPr>
          <w:trHeight w:val="353"/>
        </w:trPr>
        <w:tc>
          <w:tcPr>
            <w:tcW w:w="581" w:type="dxa"/>
            <w:shd w:val="clear" w:color="auto" w:fill="auto"/>
            <w:noWrap/>
            <w:vAlign w:val="center"/>
          </w:tcPr>
          <w:p w14:paraId="4B470026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7DDD8BCA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IPTV-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人民北移动地级市接入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3748CA5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7E87D63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H3C5560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3C317E3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210235A1XCM192A0007Z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51C4624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2022.6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75FBAE4F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1EC7E5EC" w14:textId="77777777">
        <w:trPr>
          <w:trHeight w:val="353"/>
        </w:trPr>
        <w:tc>
          <w:tcPr>
            <w:tcW w:w="581" w:type="dxa"/>
            <w:shd w:val="clear" w:color="auto" w:fill="auto"/>
            <w:noWrap/>
            <w:vAlign w:val="center"/>
          </w:tcPr>
          <w:p w14:paraId="676C8744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498E2966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环市东接入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-1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6DD704E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6CE3B30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7658453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210235A1XC9205Q000N7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336382C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2023.7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0B9CF0A0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1BCF1FBA" w14:textId="77777777">
        <w:trPr>
          <w:trHeight w:val="353"/>
        </w:trPr>
        <w:tc>
          <w:tcPr>
            <w:tcW w:w="581" w:type="dxa"/>
            <w:shd w:val="clear" w:color="auto" w:fill="auto"/>
            <w:noWrap/>
            <w:vAlign w:val="center"/>
          </w:tcPr>
          <w:p w14:paraId="75CC4042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37CA26A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环市东接入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-2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6139A61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7BA6916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4024373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210235A1XC9205Q000SZ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48661D81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2023.7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1086BB61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222D4DC5" w14:textId="77777777">
        <w:trPr>
          <w:trHeight w:val="353"/>
        </w:trPr>
        <w:tc>
          <w:tcPr>
            <w:tcW w:w="581" w:type="dxa"/>
            <w:shd w:val="clear" w:color="auto" w:fill="auto"/>
            <w:noWrap/>
            <w:vAlign w:val="center"/>
          </w:tcPr>
          <w:p w14:paraId="7400F1D7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634ACC0D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环市东接入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-3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4782EDCE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04E9E4E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1C006A49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210235A1XC9205Q000DG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56FA349B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2023.7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57C10017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  <w:tr w:rsidR="0021681C" w14:paraId="367390FE" w14:textId="77777777">
        <w:trPr>
          <w:trHeight w:val="363"/>
        </w:trPr>
        <w:tc>
          <w:tcPr>
            <w:tcW w:w="581" w:type="dxa"/>
            <w:shd w:val="clear" w:color="auto" w:fill="auto"/>
            <w:noWrap/>
            <w:vAlign w:val="center"/>
          </w:tcPr>
          <w:p w14:paraId="3F0D491F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14:paraId="7BBAF9D5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环市东接入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-4</w:t>
            </w:r>
          </w:p>
        </w:tc>
        <w:tc>
          <w:tcPr>
            <w:tcW w:w="696" w:type="dxa"/>
            <w:shd w:val="clear" w:color="auto" w:fill="auto"/>
            <w:noWrap/>
            <w:vAlign w:val="center"/>
          </w:tcPr>
          <w:p w14:paraId="4F0F5CD6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H3C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14:paraId="1B694C58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S5560X</w:t>
            </w:r>
          </w:p>
        </w:tc>
        <w:tc>
          <w:tcPr>
            <w:tcW w:w="2550" w:type="dxa"/>
            <w:shd w:val="clear" w:color="auto" w:fill="auto"/>
            <w:noWrap/>
            <w:vAlign w:val="center"/>
          </w:tcPr>
          <w:p w14:paraId="31A2943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210235A1XC9205Q000T0</w:t>
            </w:r>
          </w:p>
        </w:tc>
        <w:tc>
          <w:tcPr>
            <w:tcW w:w="1015" w:type="dxa"/>
            <w:shd w:val="clear" w:color="auto" w:fill="auto"/>
            <w:noWrap/>
            <w:vAlign w:val="center"/>
          </w:tcPr>
          <w:p w14:paraId="451C4643" w14:textId="77777777" w:rsidR="0021681C" w:rsidRDefault="00086B5E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2023.7</w:t>
            </w:r>
          </w:p>
        </w:tc>
        <w:tc>
          <w:tcPr>
            <w:tcW w:w="1391" w:type="dxa"/>
            <w:shd w:val="clear" w:color="auto" w:fill="auto"/>
            <w:noWrap/>
            <w:vAlign w:val="bottom"/>
          </w:tcPr>
          <w:p w14:paraId="68C05B18" w14:textId="77777777" w:rsidR="0021681C" w:rsidRDefault="00086B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签订合同期起续保三年</w:t>
            </w:r>
          </w:p>
        </w:tc>
      </w:tr>
    </w:tbl>
    <w:p w14:paraId="0A8E41FC" w14:textId="77777777" w:rsidR="0021681C" w:rsidRDefault="0021681C">
      <w:pPr>
        <w:ind w:firstLine="989"/>
        <w:rPr>
          <w:rFonts w:ascii="宋体" w:eastAsia="宋体" w:hAnsi="宋体" w:cs="宋体"/>
          <w:sz w:val="24"/>
          <w:lang w:eastAsia="zh-Hans"/>
        </w:rPr>
      </w:pPr>
    </w:p>
    <w:p w14:paraId="0E860EA2" w14:textId="77777777" w:rsidR="0021681C" w:rsidRDefault="00086B5E">
      <w:pPr>
        <w:pStyle w:val="1"/>
        <w:spacing w:before="0" w:after="0" w:line="360" w:lineRule="auto"/>
        <w:rPr>
          <w:rFonts w:ascii="宋体" w:eastAsia="宋体" w:hAnsi="宋体" w:cs="宋体"/>
          <w:sz w:val="24"/>
          <w:szCs w:val="24"/>
        </w:rPr>
      </w:pPr>
      <w:bookmarkStart w:id="2" w:name="_Toc1188190601"/>
      <w:r>
        <w:rPr>
          <w:rFonts w:ascii="宋体" w:eastAsia="宋体" w:hAnsi="宋体" w:cs="宋体" w:hint="eastAsia"/>
          <w:sz w:val="24"/>
          <w:szCs w:val="24"/>
        </w:rPr>
        <w:t>二、</w:t>
      </w:r>
      <w:r>
        <w:rPr>
          <w:rFonts w:ascii="宋体" w:eastAsia="宋体" w:hAnsi="宋体" w:cs="宋体" w:hint="eastAsia"/>
          <w:sz w:val="24"/>
          <w:szCs w:val="24"/>
        </w:rPr>
        <w:t>维保服务说明</w:t>
      </w:r>
      <w:bookmarkEnd w:id="2"/>
    </w:p>
    <w:p w14:paraId="47EC052A" w14:textId="77777777" w:rsidR="0021681C" w:rsidRDefault="00086B5E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本项目采购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年</w:t>
      </w:r>
      <w:r>
        <w:rPr>
          <w:rFonts w:ascii="宋体" w:eastAsia="宋体" w:hAnsi="宋体" w:cs="宋体" w:hint="eastAsia"/>
          <w:sz w:val="24"/>
        </w:rPr>
        <w:t>7*24</w:t>
      </w:r>
      <w:r>
        <w:rPr>
          <w:rFonts w:ascii="宋体" w:eastAsia="宋体" w:hAnsi="宋体" w:cs="宋体" w:hint="eastAsia"/>
          <w:sz w:val="24"/>
        </w:rPr>
        <w:t>维保服务，如下：</w:t>
      </w:r>
    </w:p>
    <w:tbl>
      <w:tblPr>
        <w:tblpPr w:leftFromText="180" w:rightFromText="180" w:vertAnchor="text" w:horzAnchor="margin" w:tblpXSpec="center" w:tblpY="639"/>
        <w:tblOverlap w:val="never"/>
        <w:tblW w:w="9425" w:type="dxa"/>
        <w:tblLayout w:type="fixed"/>
        <w:tblLook w:val="04A0" w:firstRow="1" w:lastRow="0" w:firstColumn="1" w:lastColumn="0" w:noHBand="0" w:noVBand="1"/>
      </w:tblPr>
      <w:tblGrid>
        <w:gridCol w:w="2049"/>
        <w:gridCol w:w="5818"/>
        <w:gridCol w:w="1558"/>
      </w:tblGrid>
      <w:tr w:rsidR="0021681C" w14:paraId="245C7F08" w14:textId="77777777">
        <w:trPr>
          <w:trHeight w:val="170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EB75" w14:textId="77777777" w:rsidR="0021681C" w:rsidRDefault="00086B5E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服务项目</w:t>
            </w:r>
          </w:p>
        </w:tc>
        <w:tc>
          <w:tcPr>
            <w:tcW w:w="73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EBC11E" w14:textId="77777777" w:rsidR="0021681C" w:rsidRDefault="00086B5E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服务等级</w:t>
            </w:r>
          </w:p>
        </w:tc>
      </w:tr>
      <w:tr w:rsidR="0021681C" w14:paraId="0737CAC2" w14:textId="77777777">
        <w:trPr>
          <w:trHeight w:val="17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154D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电话咨询服务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77D1B7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、受理时间：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7x24</w:t>
            </w:r>
          </w:p>
          <w:p w14:paraId="47B5096F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、响应时间：≤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分钟</w:t>
            </w:r>
          </w:p>
        </w:tc>
      </w:tr>
      <w:tr w:rsidR="0021681C" w14:paraId="6E3CAE38" w14:textId="77777777">
        <w:trPr>
          <w:trHeight w:val="17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2961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电话支持服务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2ADB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响应时间：≤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15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分钟；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F2EB60" w14:textId="77777777" w:rsidR="0021681C" w:rsidRDefault="0021681C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1681C" w14:paraId="504C4622" w14:textId="77777777">
        <w:trPr>
          <w:trHeight w:val="17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8D36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远程技术支持服务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15A0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响应时间：≤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15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分钟；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7C8020" w14:textId="77777777" w:rsidR="0021681C" w:rsidRDefault="0021681C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1681C" w14:paraId="220AD2C0" w14:textId="77777777">
        <w:trPr>
          <w:trHeight w:val="17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5F98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现场技术支持服务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0A82" w14:textId="77777777" w:rsidR="0021681C" w:rsidRDefault="00086B5E"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广州市内：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到达现场时间：≤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小时</w:t>
            </w:r>
          </w:p>
          <w:p w14:paraId="6642F138" w14:textId="77777777" w:rsidR="0021681C" w:rsidRDefault="00086B5E"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广州市外广东省内：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到达现场时间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受理问题后的第二个工作日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2CE2F0" w14:textId="77777777" w:rsidR="0021681C" w:rsidRDefault="0021681C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1681C" w14:paraId="6630C90A" w14:textId="77777777">
        <w:trPr>
          <w:trHeight w:val="17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E71F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设备巡检服务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063BCC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次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</w:p>
        </w:tc>
      </w:tr>
      <w:tr w:rsidR="0021681C" w14:paraId="46397A09" w14:textId="77777777">
        <w:trPr>
          <w:trHeight w:val="17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6CDB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故障件维修服务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6600CC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返修周期：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个工作日</w:t>
            </w:r>
          </w:p>
        </w:tc>
      </w:tr>
      <w:tr w:rsidR="0021681C" w14:paraId="2DA25E75" w14:textId="77777777">
        <w:trPr>
          <w:trHeight w:val="17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82A3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紧急备件支持服务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9F791D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、广州市内：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到达现场时间：≤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小时</w:t>
            </w:r>
          </w:p>
          <w:p w14:paraId="5AF61577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、广州市外广东省内：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到达现场时间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受理问题后的第二个工作日</w:t>
            </w:r>
          </w:p>
        </w:tc>
      </w:tr>
      <w:tr w:rsidR="0021681C" w14:paraId="58F902E2" w14:textId="77777777">
        <w:trPr>
          <w:trHeight w:val="17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0E7B61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重点保障期值守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A02003" w14:textId="77777777" w:rsidR="0021681C" w:rsidRDefault="00086B5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支撑采购人单位重点保障期的现场值守，提供人员到场服务。</w:t>
            </w:r>
          </w:p>
        </w:tc>
      </w:tr>
    </w:tbl>
    <w:p w14:paraId="63F0723D" w14:textId="77777777" w:rsidR="0021681C" w:rsidRDefault="00086B5E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具体服务等级要求如下：</w:t>
      </w:r>
    </w:p>
    <w:p w14:paraId="1A5B7BB5" w14:textId="77777777" w:rsidR="0021681C" w:rsidRDefault="00086B5E">
      <w:pPr>
        <w:numPr>
          <w:ilvl w:val="0"/>
          <w:numId w:val="2"/>
        </w:numPr>
        <w:spacing w:line="360" w:lineRule="auto"/>
        <w:ind w:firstLine="6"/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故障级别定义</w:t>
      </w:r>
    </w:p>
    <w:p w14:paraId="42A597A9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故障级别由出现问题对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最终用户的影响的大小来决定。所有申请的级别都将由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和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支持机构共同决定，并以最终用户业务为重。</w:t>
      </w:r>
    </w:p>
    <w:p w14:paraId="65B7FE1E" w14:textId="77777777" w:rsidR="0021681C" w:rsidRDefault="00086B5E">
      <w:pPr>
        <w:numPr>
          <w:ilvl w:val="0"/>
          <w:numId w:val="3"/>
        </w:numPr>
        <w:spacing w:line="360" w:lineRule="auto"/>
        <w:ind w:hanging="844"/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一级故障</w:t>
      </w:r>
      <w:r>
        <w:rPr>
          <w:rFonts w:ascii="宋体" w:eastAsia="宋体" w:hAnsi="宋体" w:cs="宋体" w:hint="eastAsia"/>
          <w:sz w:val="24"/>
          <w:lang w:val="zh-CN"/>
        </w:rPr>
        <w:t xml:space="preserve"> </w:t>
      </w:r>
    </w:p>
    <w:p w14:paraId="5E9CA8ED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 w:hint="eastAsia"/>
          <w:sz w:val="24"/>
        </w:rPr>
        <w:t>在商业、经济、技术、安全等方面给最终用户造成重大损失的故障。</w:t>
      </w:r>
    </w:p>
    <w:p w14:paraId="3B0978BF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 w:hint="eastAsia"/>
          <w:sz w:val="24"/>
        </w:rPr>
        <w:t>严重影响整个或局部系统运行，系统功能，或系统可靠性的故障。</w:t>
      </w:r>
    </w:p>
    <w:p w14:paraId="7569F965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-</w:t>
      </w:r>
      <w:r>
        <w:rPr>
          <w:rFonts w:ascii="宋体" w:eastAsia="宋体" w:hAnsi="宋体" w:cs="宋体" w:hint="eastAsia"/>
          <w:sz w:val="24"/>
        </w:rPr>
        <w:t>严重影响最终用户服务质量的故障。</w:t>
      </w:r>
    </w:p>
    <w:p w14:paraId="7D9198DD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例如</w:t>
      </w:r>
    </w:p>
    <w:p w14:paraId="55A25C2E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－设备系统瘫痪，致使无法向用户提供业务服务。</w:t>
      </w:r>
    </w:p>
    <w:p w14:paraId="50B74154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－分节点故障，致使部分用户无法使用业务服务，不能提供正常网络服务。</w:t>
      </w:r>
    </w:p>
    <w:p w14:paraId="21520D95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－受到大面积的安全攻击，致使大量重要业务无法使用。</w:t>
      </w:r>
    </w:p>
    <w:p w14:paraId="63DFCD57" w14:textId="77777777" w:rsidR="0021681C" w:rsidRDefault="00086B5E">
      <w:pPr>
        <w:numPr>
          <w:ilvl w:val="0"/>
          <w:numId w:val="3"/>
        </w:numPr>
        <w:spacing w:line="360" w:lineRule="auto"/>
        <w:ind w:hanging="844"/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二级故障</w:t>
      </w:r>
      <w:r>
        <w:rPr>
          <w:rFonts w:ascii="宋体" w:eastAsia="宋体" w:hAnsi="宋体" w:cs="宋体" w:hint="eastAsia"/>
          <w:sz w:val="24"/>
          <w:lang w:val="zh-CN"/>
        </w:rPr>
        <w:t xml:space="preserve"> </w:t>
      </w:r>
    </w:p>
    <w:p w14:paraId="1BD575FF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－在商业、经济、技术、安全等方面给最终用户造成较严重损失的故障。</w:t>
      </w:r>
    </w:p>
    <w:p w14:paraId="671C86FC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－影响局部系统运行，系统功能，或系统可靠性的故障。</w:t>
      </w:r>
    </w:p>
    <w:p w14:paraId="4C735919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－影响最终用户服务质量的故障。</w:t>
      </w:r>
    </w:p>
    <w:p w14:paraId="002DEEF9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例如：</w:t>
      </w:r>
    </w:p>
    <w:p w14:paraId="7D358698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－单台设备故障，致使失去冗余备份，系统整体的的可靠性降低。</w:t>
      </w:r>
    </w:p>
    <w:p w14:paraId="097961A5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－设备性能超负荷，致使最终用户感受到业务性能下降。</w:t>
      </w:r>
    </w:p>
    <w:p w14:paraId="10A3B283" w14:textId="77777777" w:rsidR="0021681C" w:rsidRDefault="00086B5E">
      <w:pPr>
        <w:numPr>
          <w:ilvl w:val="0"/>
          <w:numId w:val="3"/>
        </w:numPr>
        <w:spacing w:line="360" w:lineRule="auto"/>
        <w:ind w:hanging="844"/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三级故障</w:t>
      </w:r>
    </w:p>
    <w:p w14:paraId="73040E93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－对最终用户造成较轻微影响的故障。</w:t>
      </w:r>
    </w:p>
    <w:p w14:paraId="7DB00613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－对产品功能造成轻微影响的故障。</w:t>
      </w:r>
    </w:p>
    <w:p w14:paraId="64E5FDA9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－在商业、经济方面给最终用户造成轻微损失的故障。</w:t>
      </w:r>
    </w:p>
    <w:p w14:paraId="664138D9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－除紧急故障和严重故障外的其他问题。</w:t>
      </w:r>
    </w:p>
    <w:p w14:paraId="6F2ED1B8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例如</w:t>
      </w:r>
    </w:p>
    <w:p w14:paraId="72306778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－一般节点故障，导致为部分用户提供的服务质量较差。</w:t>
      </w:r>
    </w:p>
    <w:p w14:paraId="45FE4886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－有备份的设备的冗余部件出现可恢复的短时故障。</w:t>
      </w:r>
    </w:p>
    <w:p w14:paraId="4731261B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－显示错误。</w:t>
      </w:r>
    </w:p>
    <w:p w14:paraId="438FA317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－文件出错。</w:t>
      </w:r>
    </w:p>
    <w:p w14:paraId="7870758E" w14:textId="77777777" w:rsidR="0021681C" w:rsidRDefault="00086B5E">
      <w:pPr>
        <w:numPr>
          <w:ilvl w:val="0"/>
          <w:numId w:val="2"/>
        </w:numPr>
        <w:spacing w:line="360" w:lineRule="auto"/>
        <w:ind w:firstLine="6"/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故障处理服务规范</w:t>
      </w:r>
    </w:p>
    <w:p w14:paraId="0D5ABE60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维护人员发现故障后，向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申告故障，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在收到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申告后为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进行故障处理服务，并根据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申告的故障级别提供相应的服务。</w:t>
      </w:r>
    </w:p>
    <w:p w14:paraId="6D463107" w14:textId="77777777" w:rsidR="0021681C" w:rsidRDefault="00086B5E">
      <w:pPr>
        <w:numPr>
          <w:ilvl w:val="0"/>
          <w:numId w:val="4"/>
        </w:numPr>
        <w:spacing w:line="360" w:lineRule="auto"/>
        <w:ind w:hanging="844"/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一级故障</w:t>
      </w:r>
    </w:p>
    <w:p w14:paraId="38D3D6AD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在收到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故障申告后，应立即联系相关工程师，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工程师在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分钟内给予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电话响应，</w:t>
      </w:r>
      <w:r>
        <w:rPr>
          <w:rFonts w:ascii="宋体" w:eastAsia="宋体" w:hAnsi="宋体" w:cs="宋体" w:hint="eastAsia"/>
          <w:sz w:val="24"/>
        </w:rPr>
        <w:t>15</w:t>
      </w:r>
      <w:r>
        <w:rPr>
          <w:rFonts w:ascii="宋体" w:eastAsia="宋体" w:hAnsi="宋体" w:cs="宋体" w:hint="eastAsia"/>
          <w:sz w:val="24"/>
        </w:rPr>
        <w:t>分钟内远程登陆网络。</w:t>
      </w:r>
    </w:p>
    <w:p w14:paraId="31DF6B83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如果需要到现场，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需在保证远程处理的同时增派驻点工程师到达现场，广州</w:t>
      </w:r>
      <w:r>
        <w:rPr>
          <w:rFonts w:ascii="宋体" w:eastAsia="宋体" w:hAnsi="宋体" w:cs="宋体" w:hint="eastAsia"/>
          <w:sz w:val="24"/>
        </w:rPr>
        <w:t>120</w:t>
      </w:r>
      <w:r>
        <w:rPr>
          <w:rFonts w:ascii="宋体" w:eastAsia="宋体" w:hAnsi="宋体" w:cs="宋体" w:hint="eastAsia"/>
          <w:sz w:val="24"/>
        </w:rPr>
        <w:t>分钟内到达现场，深圳、佛山等节点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小时内到达现场。</w:t>
      </w:r>
    </w:p>
    <w:p w14:paraId="632C5110" w14:textId="77777777" w:rsidR="0021681C" w:rsidRDefault="00086B5E">
      <w:pPr>
        <w:spacing w:line="360" w:lineRule="auto"/>
        <w:ind w:leftChars="203" w:left="426" w:firstLineChars="150" w:firstLine="3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工程师需制定可行的临时应急方案，并在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许可后实施，在</w:t>
      </w:r>
      <w:r>
        <w:rPr>
          <w:rFonts w:ascii="宋体" w:eastAsia="宋体" w:hAnsi="宋体" w:cs="宋体" w:hint="eastAsia"/>
          <w:sz w:val="24"/>
        </w:rPr>
        <w:t>30</w:t>
      </w:r>
      <w:r>
        <w:rPr>
          <w:rFonts w:ascii="宋体" w:eastAsia="宋体" w:hAnsi="宋体" w:cs="宋体" w:hint="eastAsia"/>
          <w:sz w:val="24"/>
        </w:rPr>
        <w:t>分钟内恢复业务基本运行，使网络恢复到不影响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重要业务的运行或最终用户仅感受业务质量有轻微下降。</w:t>
      </w:r>
    </w:p>
    <w:p w14:paraId="362EAFCD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工程师在</w:t>
      </w:r>
      <w:r>
        <w:rPr>
          <w:rFonts w:ascii="宋体" w:eastAsia="宋体" w:hAnsi="宋体" w:cs="宋体" w:hint="eastAsia"/>
          <w:sz w:val="24"/>
        </w:rPr>
        <w:t>24</w:t>
      </w:r>
      <w:r>
        <w:rPr>
          <w:rFonts w:ascii="宋体" w:eastAsia="宋体" w:hAnsi="宋体" w:cs="宋体" w:hint="eastAsia"/>
          <w:sz w:val="24"/>
        </w:rPr>
        <w:t>小时内解决全部故障，其中包括硬件提供和更换的时间。</w:t>
      </w:r>
    </w:p>
    <w:p w14:paraId="381B0EE9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工程师在故障最终解决后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个工作日内提供故障报告。</w:t>
      </w:r>
    </w:p>
    <w:p w14:paraId="0117C668" w14:textId="77777777" w:rsidR="0021681C" w:rsidRDefault="00086B5E">
      <w:pPr>
        <w:numPr>
          <w:ilvl w:val="0"/>
          <w:numId w:val="4"/>
        </w:numPr>
        <w:spacing w:line="360" w:lineRule="auto"/>
        <w:ind w:hanging="844"/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二级故障</w:t>
      </w:r>
    </w:p>
    <w:p w14:paraId="08233B62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在收到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故障申告后，应立即联系相关工程师，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工程师在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分钟内给予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电话响应，</w:t>
      </w:r>
      <w:r>
        <w:rPr>
          <w:rFonts w:ascii="宋体" w:eastAsia="宋体" w:hAnsi="宋体" w:cs="宋体" w:hint="eastAsia"/>
          <w:sz w:val="24"/>
        </w:rPr>
        <w:t>20</w:t>
      </w:r>
      <w:r>
        <w:rPr>
          <w:rFonts w:ascii="宋体" w:eastAsia="宋体" w:hAnsi="宋体" w:cs="宋体" w:hint="eastAsia"/>
          <w:sz w:val="24"/>
        </w:rPr>
        <w:t>分钟内远程登陆网络。</w:t>
      </w:r>
    </w:p>
    <w:p w14:paraId="4AA9C989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如果需要到现场，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需在保证远程处理的同时增派驻点工程师到达现场，广州节点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小时内到达现场，深圳、佛山等节点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小时内到达现场。</w:t>
      </w:r>
    </w:p>
    <w:p w14:paraId="6EA5752E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工程师需制定可行的临时应急方案，并在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许可后实施，在</w:t>
      </w:r>
      <w:r>
        <w:rPr>
          <w:rFonts w:ascii="宋体" w:eastAsia="宋体" w:hAnsi="宋体" w:cs="宋体" w:hint="eastAsia"/>
          <w:sz w:val="24"/>
        </w:rPr>
        <w:t>30</w:t>
      </w:r>
      <w:r>
        <w:rPr>
          <w:rFonts w:ascii="宋体" w:eastAsia="宋体" w:hAnsi="宋体" w:cs="宋体" w:hint="eastAsia"/>
          <w:sz w:val="24"/>
        </w:rPr>
        <w:t>分钟内恢复业务基本运行，使设备或系统恢复到不影响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重要业务的运行或最终用户仅感受业务质量有轻微下降。</w:t>
      </w:r>
    </w:p>
    <w:p w14:paraId="5C8D5727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工程师在</w:t>
      </w:r>
      <w:r>
        <w:rPr>
          <w:rFonts w:ascii="宋体" w:eastAsia="宋体" w:hAnsi="宋体" w:cs="宋体" w:hint="eastAsia"/>
          <w:sz w:val="24"/>
        </w:rPr>
        <w:t>48</w:t>
      </w:r>
      <w:r>
        <w:rPr>
          <w:rFonts w:ascii="宋体" w:eastAsia="宋体" w:hAnsi="宋体" w:cs="宋体" w:hint="eastAsia"/>
          <w:sz w:val="24"/>
        </w:rPr>
        <w:t>小时内解决全部故障，其中包括硬件更换的时间。</w:t>
      </w:r>
    </w:p>
    <w:p w14:paraId="35554D4F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工程师在故障最终解决后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个工作日内提供故障报告。</w:t>
      </w:r>
    </w:p>
    <w:p w14:paraId="248396E2" w14:textId="77777777" w:rsidR="0021681C" w:rsidRDefault="00086B5E">
      <w:pPr>
        <w:numPr>
          <w:ilvl w:val="0"/>
          <w:numId w:val="4"/>
        </w:numPr>
        <w:spacing w:line="360" w:lineRule="auto"/>
        <w:ind w:hanging="844"/>
        <w:rPr>
          <w:rFonts w:ascii="宋体" w:eastAsia="宋体" w:hAnsi="宋体" w:cs="宋体"/>
          <w:sz w:val="24"/>
          <w:lang w:val="zh-CN"/>
        </w:rPr>
      </w:pPr>
      <w:r>
        <w:rPr>
          <w:rFonts w:ascii="宋体" w:eastAsia="宋体" w:hAnsi="宋体" w:cs="宋体" w:hint="eastAsia"/>
          <w:sz w:val="24"/>
          <w:lang w:val="zh-CN"/>
        </w:rPr>
        <w:t>三级故障</w:t>
      </w:r>
    </w:p>
    <w:p w14:paraId="67402501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在收到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故障申告后，应立即联系相关工程师，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工程师在</w:t>
      </w:r>
      <w:r>
        <w:rPr>
          <w:rFonts w:ascii="宋体" w:eastAsia="宋体" w:hAnsi="宋体" w:cs="宋体" w:hint="eastAsia"/>
          <w:sz w:val="24"/>
        </w:rPr>
        <w:t>30</w:t>
      </w:r>
      <w:r>
        <w:rPr>
          <w:rFonts w:ascii="宋体" w:eastAsia="宋体" w:hAnsi="宋体" w:cs="宋体" w:hint="eastAsia"/>
          <w:sz w:val="24"/>
        </w:rPr>
        <w:t>分钟内给予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电话响应，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小时内远程登陆网络。</w:t>
      </w:r>
    </w:p>
    <w:p w14:paraId="22D88D74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如果需要到现场，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派工程师在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个工作日内到达现场。</w:t>
      </w:r>
    </w:p>
    <w:p w14:paraId="68B758CE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工程师需制定可行的临时应急方案，并在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许可后实施，在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个工作日内恢复业务基本运行，使网络恢复到不影响</w:t>
      </w:r>
      <w:r>
        <w:rPr>
          <w:rFonts w:ascii="宋体" w:eastAsia="宋体" w:hAnsi="宋体" w:cs="宋体" w:hint="eastAsia"/>
          <w:sz w:val="24"/>
        </w:rPr>
        <w:t>采购人</w:t>
      </w:r>
      <w:r>
        <w:rPr>
          <w:rFonts w:ascii="宋体" w:eastAsia="宋体" w:hAnsi="宋体" w:cs="宋体" w:hint="eastAsia"/>
          <w:sz w:val="24"/>
        </w:rPr>
        <w:t>重要业务的运行或最终用户仅感受业务质量有轻微下降。</w:t>
      </w:r>
    </w:p>
    <w:p w14:paraId="5CD6C37B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工程师在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个工作日内解决全部故障，其中包括硬件提供和更换的时间。</w:t>
      </w:r>
    </w:p>
    <w:p w14:paraId="36162E0F" w14:textId="77777777" w:rsidR="0021681C" w:rsidRDefault="00086B5E">
      <w:pPr>
        <w:spacing w:line="360" w:lineRule="auto"/>
        <w:ind w:leftChars="203" w:left="426"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工程师在故障最终解决后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个工作日内提供故障报告。</w:t>
      </w:r>
    </w:p>
    <w:p w14:paraId="0BF1D044" w14:textId="77777777" w:rsidR="0021681C" w:rsidRDefault="00086B5E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要求通过先进、标准、可控的技术、工具和方法，安装系统，评估系统趋势，定位系统运行瓶颈，实现系统稳定运行、各项性能指标正常高效、故障响应和处理及时、提升系统运行质量。</w:t>
      </w:r>
    </w:p>
    <w:sectPr w:rsidR="00216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37A3E" w14:textId="77777777" w:rsidR="00086B5E" w:rsidRDefault="00086B5E" w:rsidP="00086B5E">
      <w:r>
        <w:separator/>
      </w:r>
    </w:p>
  </w:endnote>
  <w:endnote w:type="continuationSeparator" w:id="0">
    <w:p w14:paraId="341F6671" w14:textId="77777777" w:rsidR="00086B5E" w:rsidRDefault="00086B5E" w:rsidP="0008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F79DF" w14:textId="77777777" w:rsidR="00086B5E" w:rsidRDefault="00086B5E" w:rsidP="00086B5E">
      <w:r>
        <w:separator/>
      </w:r>
    </w:p>
  </w:footnote>
  <w:footnote w:type="continuationSeparator" w:id="0">
    <w:p w14:paraId="78B62AAE" w14:textId="77777777" w:rsidR="00086B5E" w:rsidRDefault="00086B5E" w:rsidP="00086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F87599"/>
    <w:multiLevelType w:val="singleLevel"/>
    <w:tmpl w:val="EBF87599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F79243E"/>
    <w:multiLevelType w:val="multilevel"/>
    <w:tmpl w:val="1F79243E"/>
    <w:lvl w:ilvl="0">
      <w:start w:val="1"/>
      <w:numFmt w:val="lowerLetter"/>
      <w:lvlText w:val="%1)"/>
      <w:lvlJc w:val="left"/>
      <w:pPr>
        <w:ind w:left="1695" w:hanging="420"/>
      </w:pPr>
    </w:lvl>
    <w:lvl w:ilvl="1">
      <w:start w:val="1"/>
      <w:numFmt w:val="lowerLetter"/>
      <w:lvlText w:val="%2)"/>
      <w:lvlJc w:val="left"/>
      <w:pPr>
        <w:ind w:left="2115" w:hanging="420"/>
      </w:pPr>
    </w:lvl>
    <w:lvl w:ilvl="2">
      <w:start w:val="1"/>
      <w:numFmt w:val="lowerRoman"/>
      <w:lvlText w:val="%3."/>
      <w:lvlJc w:val="right"/>
      <w:pPr>
        <w:ind w:left="2535" w:hanging="420"/>
      </w:pPr>
    </w:lvl>
    <w:lvl w:ilvl="3">
      <w:start w:val="1"/>
      <w:numFmt w:val="decimal"/>
      <w:lvlText w:val="%4."/>
      <w:lvlJc w:val="left"/>
      <w:pPr>
        <w:ind w:left="2955" w:hanging="420"/>
      </w:pPr>
    </w:lvl>
    <w:lvl w:ilvl="4">
      <w:start w:val="1"/>
      <w:numFmt w:val="lowerLetter"/>
      <w:lvlText w:val="%5)"/>
      <w:lvlJc w:val="left"/>
      <w:pPr>
        <w:ind w:left="3375" w:hanging="420"/>
      </w:pPr>
    </w:lvl>
    <w:lvl w:ilvl="5">
      <w:start w:val="1"/>
      <w:numFmt w:val="lowerRoman"/>
      <w:lvlText w:val="%6."/>
      <w:lvlJc w:val="right"/>
      <w:pPr>
        <w:ind w:left="3795" w:hanging="420"/>
      </w:pPr>
    </w:lvl>
    <w:lvl w:ilvl="6">
      <w:start w:val="1"/>
      <w:numFmt w:val="decimal"/>
      <w:lvlText w:val="%7."/>
      <w:lvlJc w:val="left"/>
      <w:pPr>
        <w:ind w:left="4215" w:hanging="420"/>
      </w:pPr>
    </w:lvl>
    <w:lvl w:ilvl="7">
      <w:start w:val="1"/>
      <w:numFmt w:val="lowerLetter"/>
      <w:lvlText w:val="%8)"/>
      <w:lvlJc w:val="left"/>
      <w:pPr>
        <w:ind w:left="4635" w:hanging="420"/>
      </w:pPr>
    </w:lvl>
    <w:lvl w:ilvl="8">
      <w:start w:val="1"/>
      <w:numFmt w:val="lowerRoman"/>
      <w:lvlText w:val="%9."/>
      <w:lvlJc w:val="right"/>
      <w:pPr>
        <w:ind w:left="5055" w:hanging="420"/>
      </w:pPr>
    </w:lvl>
  </w:abstractNum>
  <w:abstractNum w:abstractNumId="2" w15:restartNumberingAfterBreak="0">
    <w:nsid w:val="23651401"/>
    <w:multiLevelType w:val="multilevel"/>
    <w:tmpl w:val="23651401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、"/>
      <w:lvlJc w:val="left"/>
      <w:pPr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0D2D6F"/>
    <w:multiLevelType w:val="multilevel"/>
    <w:tmpl w:val="580D2D6F"/>
    <w:lvl w:ilvl="0">
      <w:start w:val="1"/>
      <w:numFmt w:val="lowerLetter"/>
      <w:lvlText w:val="%1)"/>
      <w:lvlJc w:val="left"/>
      <w:pPr>
        <w:ind w:left="1695" w:hanging="420"/>
      </w:pPr>
    </w:lvl>
    <w:lvl w:ilvl="1">
      <w:start w:val="1"/>
      <w:numFmt w:val="lowerLetter"/>
      <w:lvlText w:val="%2)"/>
      <w:lvlJc w:val="left"/>
      <w:pPr>
        <w:ind w:left="2115" w:hanging="420"/>
      </w:pPr>
    </w:lvl>
    <w:lvl w:ilvl="2">
      <w:start w:val="1"/>
      <w:numFmt w:val="lowerRoman"/>
      <w:lvlText w:val="%3."/>
      <w:lvlJc w:val="right"/>
      <w:pPr>
        <w:ind w:left="2535" w:hanging="420"/>
      </w:pPr>
    </w:lvl>
    <w:lvl w:ilvl="3">
      <w:start w:val="1"/>
      <w:numFmt w:val="decimal"/>
      <w:lvlText w:val="%4."/>
      <w:lvlJc w:val="left"/>
      <w:pPr>
        <w:ind w:left="2955" w:hanging="420"/>
      </w:pPr>
    </w:lvl>
    <w:lvl w:ilvl="4">
      <w:start w:val="1"/>
      <w:numFmt w:val="lowerLetter"/>
      <w:lvlText w:val="%5)"/>
      <w:lvlJc w:val="left"/>
      <w:pPr>
        <w:ind w:left="3375" w:hanging="420"/>
      </w:pPr>
    </w:lvl>
    <w:lvl w:ilvl="5">
      <w:start w:val="1"/>
      <w:numFmt w:val="lowerRoman"/>
      <w:lvlText w:val="%6."/>
      <w:lvlJc w:val="right"/>
      <w:pPr>
        <w:ind w:left="3795" w:hanging="420"/>
      </w:pPr>
    </w:lvl>
    <w:lvl w:ilvl="6">
      <w:start w:val="1"/>
      <w:numFmt w:val="decimal"/>
      <w:lvlText w:val="%7."/>
      <w:lvlJc w:val="left"/>
      <w:pPr>
        <w:ind w:left="4215" w:hanging="420"/>
      </w:pPr>
    </w:lvl>
    <w:lvl w:ilvl="7">
      <w:start w:val="1"/>
      <w:numFmt w:val="lowerLetter"/>
      <w:lvlText w:val="%8)"/>
      <w:lvlJc w:val="left"/>
      <w:pPr>
        <w:ind w:left="4635" w:hanging="420"/>
      </w:pPr>
    </w:lvl>
    <w:lvl w:ilvl="8">
      <w:start w:val="1"/>
      <w:numFmt w:val="lowerRoman"/>
      <w:lvlText w:val="%9."/>
      <w:lvlJc w:val="right"/>
      <w:pPr>
        <w:ind w:left="5055" w:hanging="420"/>
      </w:pPr>
    </w:lvl>
  </w:abstractNum>
  <w:num w:numId="1" w16cid:durableId="1482652779">
    <w:abstractNumId w:val="0"/>
  </w:num>
  <w:num w:numId="2" w16cid:durableId="4269300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0650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6344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5ZWVkMWE1OWYzNWYxM2I3ZmY5YjhjNTE4MWZkMDAifQ=="/>
  </w:docVars>
  <w:rsids>
    <w:rsidRoot w:val="DDF5733C"/>
    <w:rsid w:val="DDF5733C"/>
    <w:rsid w:val="00051353"/>
    <w:rsid w:val="00086B5E"/>
    <w:rsid w:val="0021681C"/>
    <w:rsid w:val="00B4602A"/>
    <w:rsid w:val="75E2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1AB827"/>
  <w15:docId w15:val="{9517CA20-E20D-4955-93E0-6F6F6B10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正文 正文"/>
    <w:basedOn w:val="a"/>
    <w:qFormat/>
    <w:pPr>
      <w:spacing w:beforeLines="50" w:before="120" w:line="360" w:lineRule="auto"/>
      <w:ind w:firstLineChars="200" w:firstLine="480"/>
    </w:pPr>
    <w:rPr>
      <w:rFonts w:ascii="Times New Roman" w:hAnsi="Times New Roman" w:cs="Times New Roman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646</Words>
  <Characters>3684</Characters>
  <Application>Microsoft Office Word</Application>
  <DocSecurity>0</DocSecurity>
  <Lines>30</Lines>
  <Paragraphs>8</Paragraphs>
  <ScaleCrop>false</ScaleCrop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WPS_1659951871</dc:creator>
  <cp:lastModifiedBy>A</cp:lastModifiedBy>
  <cp:revision>3</cp:revision>
  <dcterms:created xsi:type="dcterms:W3CDTF">2023-08-10T11:16:00Z</dcterms:created>
  <dcterms:modified xsi:type="dcterms:W3CDTF">2023-10-31T09:41:00Z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A07EA743AA89C0CA7756D46494B4093E_41</vt:lpwstr>
  </property>
</Properties>
</file>